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4B6E" w14:textId="34CD220D" w:rsidR="00421EB3" w:rsidRDefault="00E50065" w:rsidP="00421EB3">
      <w:pPr>
        <w:pStyle w:val="Heading1"/>
      </w:pPr>
      <w:proofErr w:type="spellStart"/>
      <w:r>
        <w:t>PharmOutcomes</w:t>
      </w:r>
      <w:proofErr w:type="spellEnd"/>
      <w:r>
        <w:t xml:space="preserve"> </w:t>
      </w:r>
      <w:r w:rsidR="00D91B95" w:rsidRPr="002E354C">
        <w:t xml:space="preserve">System </w:t>
      </w:r>
      <w:r w:rsidR="00230EF8">
        <w:t>Assessment Template</w:t>
      </w:r>
    </w:p>
    <w:p w14:paraId="571EAAC1" w14:textId="69170336" w:rsidR="005A7743" w:rsidRPr="00E50065" w:rsidRDefault="00E50065">
      <w:r>
        <w:t xml:space="preserve">The following template has been provided with pre-populated information to assist Information Asset Owners in hospital trusts document their use of the </w:t>
      </w:r>
      <w:proofErr w:type="spellStart"/>
      <w:r>
        <w:t>PharmOutcomes</w:t>
      </w:r>
      <w:proofErr w:type="spellEnd"/>
      <w:r>
        <w:t xml:space="preserve"> systems </w:t>
      </w:r>
      <w:r w:rsidR="00230EF8">
        <w:br/>
        <w:t>May 2018</w:t>
      </w:r>
      <w:bookmarkStart w:id="0" w:name="_GoBack"/>
      <w:bookmarkEnd w:id="0"/>
      <w:r>
        <w:br/>
      </w:r>
    </w:p>
    <w:tbl>
      <w:tblPr>
        <w:tblStyle w:val="TableGrid"/>
        <w:tblW w:w="10774" w:type="dxa"/>
        <w:tblLayout w:type="fixed"/>
        <w:tblLook w:val="0620" w:firstRow="1" w:lastRow="0" w:firstColumn="0" w:lastColumn="0" w:noHBand="1" w:noVBand="1"/>
      </w:tblPr>
      <w:tblGrid>
        <w:gridCol w:w="817"/>
        <w:gridCol w:w="3119"/>
        <w:gridCol w:w="6838"/>
      </w:tblGrid>
      <w:tr w:rsidR="005A7743" w:rsidRPr="002E354C" w14:paraId="5C60C42D" w14:textId="77777777" w:rsidTr="004C2F14">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4E898840" w14:textId="77777777" w:rsidR="005A7743" w:rsidRPr="004C2F14" w:rsidRDefault="005A7743" w:rsidP="004C2F14">
            <w:pPr>
              <w:rPr>
                <w:color w:val="000000"/>
              </w:rPr>
            </w:pPr>
            <w:r w:rsidRPr="004C2F14">
              <w:t>1.</w:t>
            </w:r>
          </w:p>
        </w:tc>
        <w:tc>
          <w:tcPr>
            <w:tcW w:w="3119" w:type="dxa"/>
          </w:tcPr>
          <w:p w14:paraId="0D3CECCC" w14:textId="77777777" w:rsidR="005A7743" w:rsidRPr="002E354C" w:rsidRDefault="005A7743" w:rsidP="004C2F14">
            <w:r>
              <w:t>Governance and Roles</w:t>
            </w:r>
          </w:p>
        </w:tc>
        <w:tc>
          <w:tcPr>
            <w:tcW w:w="6838" w:type="dxa"/>
          </w:tcPr>
          <w:p w14:paraId="75551703" w14:textId="77777777" w:rsidR="005A7743" w:rsidRPr="002E354C" w:rsidRDefault="005A7743" w:rsidP="00527062">
            <w:pPr>
              <w:autoSpaceDE w:val="0"/>
              <w:autoSpaceDN w:val="0"/>
              <w:adjustRightInd w:val="0"/>
              <w:spacing w:after="0"/>
              <w:rPr>
                <w:rFonts w:asciiTheme="minorHAnsi" w:hAnsiTheme="minorHAnsi" w:cs="Arial"/>
                <w:color w:val="000000"/>
              </w:rPr>
            </w:pPr>
          </w:p>
        </w:tc>
      </w:tr>
      <w:tr w:rsidR="005A7743" w:rsidRPr="002E354C" w14:paraId="766B541C" w14:textId="77777777" w:rsidTr="004C2F14">
        <w:trPr>
          <w:trHeight w:val="356"/>
        </w:trPr>
        <w:tc>
          <w:tcPr>
            <w:tcW w:w="817" w:type="dxa"/>
          </w:tcPr>
          <w:p w14:paraId="0752D661" w14:textId="77777777" w:rsidR="005A7743" w:rsidRPr="004C2F14" w:rsidRDefault="005A7743" w:rsidP="000622AD">
            <w:pPr>
              <w:rPr>
                <w:rFonts w:asciiTheme="minorHAnsi" w:hAnsiTheme="minorHAnsi"/>
                <w:color w:val="000000"/>
              </w:rPr>
            </w:pPr>
            <w:r w:rsidRPr="004C2F14">
              <w:t>1</w:t>
            </w:r>
            <w:r w:rsidRPr="00473B10">
              <w:t xml:space="preserve">.1 </w:t>
            </w:r>
          </w:p>
        </w:tc>
        <w:tc>
          <w:tcPr>
            <w:tcW w:w="3119" w:type="dxa"/>
          </w:tcPr>
          <w:p w14:paraId="0FF70D86" w14:textId="77777777" w:rsidR="005A7743" w:rsidRPr="002E354C" w:rsidRDefault="005A7743" w:rsidP="000622AD">
            <w:pPr>
              <w:rPr>
                <w:rFonts w:asciiTheme="minorHAnsi" w:hAnsiTheme="minorHAnsi"/>
                <w:color w:val="000000"/>
              </w:rPr>
            </w:pPr>
            <w:r w:rsidRPr="004C2F14">
              <w:t>System Name</w:t>
            </w:r>
            <w:r w:rsidRPr="00473B10">
              <w:t xml:space="preserve"> </w:t>
            </w:r>
          </w:p>
        </w:tc>
        <w:tc>
          <w:tcPr>
            <w:tcW w:w="6838" w:type="dxa"/>
          </w:tcPr>
          <w:p w14:paraId="13CE8FB2" w14:textId="77777777" w:rsidR="005A7743" w:rsidRPr="002E354C" w:rsidRDefault="005A7743" w:rsidP="000622AD">
            <w:pPr>
              <w:rPr>
                <w:rFonts w:asciiTheme="minorHAnsi" w:hAnsiTheme="minorHAnsi"/>
                <w:color w:val="000000"/>
              </w:rPr>
            </w:pPr>
            <w:r w:rsidRPr="004C2F14">
              <w:t>PharmOutcomes and Outcomes4Health</w:t>
            </w:r>
          </w:p>
        </w:tc>
      </w:tr>
      <w:tr w:rsidR="005A7743" w:rsidRPr="002E354C" w14:paraId="175804C7" w14:textId="77777777" w:rsidTr="004C2F14">
        <w:trPr>
          <w:trHeight w:val="356"/>
        </w:trPr>
        <w:tc>
          <w:tcPr>
            <w:tcW w:w="817" w:type="dxa"/>
          </w:tcPr>
          <w:p w14:paraId="0E86BC12" w14:textId="77777777" w:rsidR="005A7743" w:rsidRPr="004C2F14" w:rsidRDefault="005A7743" w:rsidP="000622AD">
            <w:pPr>
              <w:rPr>
                <w:rFonts w:asciiTheme="minorHAnsi" w:hAnsiTheme="minorHAnsi"/>
                <w:color w:val="000000"/>
              </w:rPr>
            </w:pPr>
            <w:r w:rsidRPr="004C2F14">
              <w:t>1.2</w:t>
            </w:r>
            <w:r w:rsidRPr="00473B10">
              <w:t xml:space="preserve"> </w:t>
            </w:r>
          </w:p>
        </w:tc>
        <w:tc>
          <w:tcPr>
            <w:tcW w:w="3119" w:type="dxa"/>
          </w:tcPr>
          <w:p w14:paraId="61E9C8CB" w14:textId="77777777" w:rsidR="005A7743" w:rsidRPr="002E354C" w:rsidRDefault="005A7743" w:rsidP="000622AD">
            <w:pPr>
              <w:rPr>
                <w:rFonts w:asciiTheme="minorHAnsi" w:hAnsiTheme="minorHAnsi"/>
                <w:color w:val="000000"/>
              </w:rPr>
            </w:pPr>
            <w:r w:rsidRPr="004C2F14">
              <w:t>IAO and Job Title</w:t>
            </w:r>
          </w:p>
        </w:tc>
        <w:tc>
          <w:tcPr>
            <w:tcW w:w="6838" w:type="dxa"/>
          </w:tcPr>
          <w:p w14:paraId="60C8EDCF" w14:textId="77777777" w:rsidR="005A7743" w:rsidRPr="002E354C" w:rsidRDefault="005A7743" w:rsidP="000622AD">
            <w:pPr>
              <w:rPr>
                <w:rFonts w:asciiTheme="minorHAnsi" w:hAnsiTheme="minorHAnsi"/>
                <w:color w:val="000000"/>
              </w:rPr>
            </w:pPr>
          </w:p>
        </w:tc>
      </w:tr>
      <w:tr w:rsidR="005A7743" w:rsidRPr="002E354C" w14:paraId="7100D997" w14:textId="77777777" w:rsidTr="004C2F14">
        <w:trPr>
          <w:trHeight w:val="356"/>
        </w:trPr>
        <w:tc>
          <w:tcPr>
            <w:tcW w:w="817" w:type="dxa"/>
          </w:tcPr>
          <w:p w14:paraId="26BC1352" w14:textId="77777777" w:rsidR="005A7743" w:rsidRPr="004C2F14" w:rsidRDefault="005A7743" w:rsidP="000622AD">
            <w:pPr>
              <w:rPr>
                <w:rFonts w:asciiTheme="minorHAnsi" w:hAnsiTheme="minorHAnsi"/>
                <w:color w:val="000000"/>
              </w:rPr>
            </w:pPr>
            <w:r w:rsidRPr="004C2F14">
              <w:t>1.3</w:t>
            </w:r>
            <w:r w:rsidRPr="00473B10">
              <w:t xml:space="preserve"> </w:t>
            </w:r>
          </w:p>
        </w:tc>
        <w:tc>
          <w:tcPr>
            <w:tcW w:w="3119" w:type="dxa"/>
          </w:tcPr>
          <w:p w14:paraId="183E0024" w14:textId="77777777" w:rsidR="005A7743" w:rsidRPr="002E354C" w:rsidRDefault="005A7743" w:rsidP="000622AD">
            <w:pPr>
              <w:rPr>
                <w:rFonts w:asciiTheme="minorHAnsi" w:hAnsiTheme="minorHAnsi"/>
                <w:color w:val="000000"/>
              </w:rPr>
            </w:pPr>
            <w:r w:rsidRPr="004C2F14">
              <w:t>IAA and Job Title</w:t>
            </w:r>
            <w:r w:rsidRPr="00473B10">
              <w:t xml:space="preserve"> </w:t>
            </w:r>
          </w:p>
        </w:tc>
        <w:tc>
          <w:tcPr>
            <w:tcW w:w="6838" w:type="dxa"/>
          </w:tcPr>
          <w:p w14:paraId="1D982645" w14:textId="77777777" w:rsidR="005A7743" w:rsidRPr="002E354C" w:rsidRDefault="005A7743" w:rsidP="000622AD">
            <w:pPr>
              <w:rPr>
                <w:rFonts w:asciiTheme="minorHAnsi" w:hAnsiTheme="minorHAnsi"/>
                <w:color w:val="000000"/>
              </w:rPr>
            </w:pPr>
          </w:p>
        </w:tc>
      </w:tr>
      <w:tr w:rsidR="005A7743" w:rsidRPr="002E354C" w14:paraId="74D0CC7E" w14:textId="77777777" w:rsidTr="004C2F14">
        <w:trPr>
          <w:trHeight w:val="356"/>
        </w:trPr>
        <w:tc>
          <w:tcPr>
            <w:tcW w:w="817" w:type="dxa"/>
          </w:tcPr>
          <w:p w14:paraId="48A85C5B" w14:textId="77777777" w:rsidR="005A7743" w:rsidRPr="004C2F14" w:rsidRDefault="005A7743" w:rsidP="000622AD">
            <w:pPr>
              <w:rPr>
                <w:rFonts w:asciiTheme="minorHAnsi" w:hAnsiTheme="minorHAnsi"/>
                <w:color w:val="000000"/>
              </w:rPr>
            </w:pPr>
            <w:r w:rsidRPr="004C2F14">
              <w:t>1.4</w:t>
            </w:r>
            <w:r w:rsidRPr="00473B10">
              <w:t xml:space="preserve"> </w:t>
            </w:r>
          </w:p>
        </w:tc>
        <w:tc>
          <w:tcPr>
            <w:tcW w:w="3119" w:type="dxa"/>
          </w:tcPr>
          <w:p w14:paraId="7DEBFB7A" w14:textId="77777777" w:rsidR="005A7743" w:rsidRPr="002E354C" w:rsidRDefault="005A7743" w:rsidP="000622AD">
            <w:pPr>
              <w:rPr>
                <w:rFonts w:asciiTheme="minorHAnsi" w:hAnsiTheme="minorHAnsi"/>
                <w:color w:val="000000"/>
              </w:rPr>
            </w:pPr>
            <w:r w:rsidRPr="004C2F14">
              <w:t>Caldicott Guardian</w:t>
            </w:r>
          </w:p>
        </w:tc>
        <w:tc>
          <w:tcPr>
            <w:tcW w:w="6838" w:type="dxa"/>
          </w:tcPr>
          <w:p w14:paraId="611B7127" w14:textId="6AC09B9A" w:rsidR="005A7743" w:rsidRPr="002E354C" w:rsidRDefault="00EE0542" w:rsidP="000622AD">
            <w:pPr>
              <w:rPr>
                <w:rFonts w:asciiTheme="minorHAnsi" w:hAnsiTheme="minorHAnsi"/>
                <w:color w:val="000000"/>
              </w:rPr>
            </w:pPr>
            <w:r>
              <w:rPr>
                <w:rFonts w:asciiTheme="minorHAnsi" w:hAnsiTheme="minorHAnsi"/>
                <w:color w:val="000000"/>
              </w:rPr>
              <w:t>Pamela Bowes</w:t>
            </w:r>
          </w:p>
        </w:tc>
      </w:tr>
      <w:tr w:rsidR="005A7743" w:rsidRPr="002E354C" w14:paraId="127E4F89" w14:textId="77777777" w:rsidTr="004C2F14">
        <w:trPr>
          <w:trHeight w:val="356"/>
        </w:trPr>
        <w:tc>
          <w:tcPr>
            <w:tcW w:w="817" w:type="dxa"/>
          </w:tcPr>
          <w:p w14:paraId="0941EA20" w14:textId="77777777" w:rsidR="005A7743" w:rsidRPr="004C2F14" w:rsidRDefault="005A7743" w:rsidP="000622AD">
            <w:pPr>
              <w:rPr>
                <w:rFonts w:asciiTheme="minorHAnsi" w:hAnsiTheme="minorHAnsi"/>
                <w:color w:val="000000"/>
              </w:rPr>
            </w:pPr>
            <w:r w:rsidRPr="004C2F14">
              <w:t>1.6</w:t>
            </w:r>
            <w:r w:rsidRPr="00473B10">
              <w:t xml:space="preserve"> </w:t>
            </w:r>
          </w:p>
        </w:tc>
        <w:tc>
          <w:tcPr>
            <w:tcW w:w="3119" w:type="dxa"/>
          </w:tcPr>
          <w:p w14:paraId="40BF73EA" w14:textId="77777777" w:rsidR="005A7743" w:rsidRPr="002E354C" w:rsidRDefault="005A7743" w:rsidP="000622AD">
            <w:pPr>
              <w:rPr>
                <w:rFonts w:asciiTheme="minorHAnsi" w:hAnsiTheme="minorHAnsi"/>
                <w:color w:val="000000"/>
              </w:rPr>
            </w:pPr>
            <w:r w:rsidRPr="004C2F14">
              <w:t>SIRO</w:t>
            </w:r>
            <w:r w:rsidRPr="00473B10">
              <w:t xml:space="preserve"> </w:t>
            </w:r>
          </w:p>
        </w:tc>
        <w:tc>
          <w:tcPr>
            <w:tcW w:w="6838" w:type="dxa"/>
          </w:tcPr>
          <w:p w14:paraId="0BCEAAE2" w14:textId="5CE67882" w:rsidR="005A7743" w:rsidRPr="002E354C" w:rsidRDefault="00EE0542" w:rsidP="000622AD">
            <w:pPr>
              <w:rPr>
                <w:rFonts w:asciiTheme="minorHAnsi" w:hAnsiTheme="minorHAnsi"/>
                <w:color w:val="000000"/>
              </w:rPr>
            </w:pPr>
            <w:r>
              <w:rPr>
                <w:rFonts w:asciiTheme="minorHAnsi" w:hAnsiTheme="minorHAnsi"/>
                <w:color w:val="000000"/>
              </w:rPr>
              <w:t>Gary Warner</w:t>
            </w:r>
          </w:p>
        </w:tc>
      </w:tr>
      <w:tr w:rsidR="005A7743" w:rsidRPr="002E354C" w14:paraId="43A9A89A" w14:textId="77777777" w:rsidTr="004C2F14">
        <w:trPr>
          <w:trHeight w:val="356"/>
        </w:trPr>
        <w:tc>
          <w:tcPr>
            <w:tcW w:w="817" w:type="dxa"/>
          </w:tcPr>
          <w:p w14:paraId="12BDED6D" w14:textId="77777777" w:rsidR="005A7743" w:rsidRPr="004C2F14" w:rsidRDefault="005A7743" w:rsidP="000622AD">
            <w:pPr>
              <w:rPr>
                <w:rFonts w:asciiTheme="minorHAnsi" w:hAnsiTheme="minorHAnsi"/>
                <w:color w:val="000000"/>
              </w:rPr>
            </w:pPr>
            <w:r w:rsidRPr="004C2F14">
              <w:t>1.6</w:t>
            </w:r>
            <w:r w:rsidRPr="00473B10">
              <w:t xml:space="preserve"> </w:t>
            </w:r>
          </w:p>
        </w:tc>
        <w:tc>
          <w:tcPr>
            <w:tcW w:w="3119" w:type="dxa"/>
          </w:tcPr>
          <w:p w14:paraId="1B4A19FC" w14:textId="77777777" w:rsidR="005A7743" w:rsidRPr="002E354C" w:rsidRDefault="005A7743" w:rsidP="000622AD">
            <w:pPr>
              <w:rPr>
                <w:rFonts w:asciiTheme="minorHAnsi" w:hAnsiTheme="minorHAnsi"/>
                <w:color w:val="000000"/>
              </w:rPr>
            </w:pPr>
            <w:r w:rsidRPr="004C2F14">
              <w:t>Next Review Date</w:t>
            </w:r>
          </w:p>
        </w:tc>
        <w:tc>
          <w:tcPr>
            <w:tcW w:w="6838" w:type="dxa"/>
          </w:tcPr>
          <w:p w14:paraId="04D3928C" w14:textId="10AA0C3D" w:rsidR="005A7743" w:rsidRPr="002E354C" w:rsidRDefault="005A7743" w:rsidP="000622AD">
            <w:pPr>
              <w:rPr>
                <w:rFonts w:asciiTheme="minorHAnsi" w:hAnsiTheme="minorHAnsi"/>
                <w:color w:val="000000"/>
              </w:rPr>
            </w:pPr>
          </w:p>
        </w:tc>
      </w:tr>
    </w:tbl>
    <w:p w14:paraId="5EB5E812" w14:textId="77777777" w:rsidR="005A7743" w:rsidRDefault="005A7743"/>
    <w:tbl>
      <w:tblPr>
        <w:tblStyle w:val="TableGrid"/>
        <w:tblW w:w="10774" w:type="dxa"/>
        <w:tblLayout w:type="fixed"/>
        <w:tblLook w:val="0620" w:firstRow="1" w:lastRow="0" w:firstColumn="0" w:lastColumn="0" w:noHBand="1" w:noVBand="1"/>
      </w:tblPr>
      <w:tblGrid>
        <w:gridCol w:w="817"/>
        <w:gridCol w:w="3119"/>
        <w:gridCol w:w="6838"/>
      </w:tblGrid>
      <w:tr w:rsidR="005A7743" w:rsidRPr="002E354C" w14:paraId="616BE245" w14:textId="77777777" w:rsidTr="005A7743">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0394E95D" w14:textId="77777777" w:rsidR="005A7743" w:rsidRPr="004C2F14" w:rsidRDefault="005A7743" w:rsidP="004C2F14">
            <w:pPr>
              <w:rPr>
                <w:color w:val="000000"/>
              </w:rPr>
            </w:pPr>
            <w:r w:rsidRPr="004C2F14">
              <w:t>2</w:t>
            </w:r>
            <w:r w:rsidR="00473B10">
              <w:t>.</w:t>
            </w:r>
          </w:p>
        </w:tc>
        <w:tc>
          <w:tcPr>
            <w:tcW w:w="3119" w:type="dxa"/>
          </w:tcPr>
          <w:p w14:paraId="02C93AB4" w14:textId="77777777" w:rsidR="005A7743" w:rsidRPr="002E354C" w:rsidRDefault="005A7743" w:rsidP="000622AD">
            <w:pPr>
              <w:rPr>
                <w:rFonts w:asciiTheme="minorHAnsi" w:hAnsiTheme="minorHAnsi"/>
                <w:color w:val="000000"/>
              </w:rPr>
            </w:pPr>
            <w:r w:rsidRPr="004C2F14">
              <w:t>Purpose of the System</w:t>
            </w:r>
          </w:p>
        </w:tc>
        <w:tc>
          <w:tcPr>
            <w:tcW w:w="6838" w:type="dxa"/>
          </w:tcPr>
          <w:p w14:paraId="7CDDBB6B" w14:textId="77777777" w:rsidR="005A7743" w:rsidRPr="002E354C" w:rsidRDefault="005A7743" w:rsidP="00527062">
            <w:pPr>
              <w:autoSpaceDE w:val="0"/>
              <w:autoSpaceDN w:val="0"/>
              <w:adjustRightInd w:val="0"/>
              <w:spacing w:after="0"/>
              <w:rPr>
                <w:rFonts w:asciiTheme="minorHAnsi" w:hAnsiTheme="minorHAnsi" w:cs="Arial"/>
                <w:color w:val="000000"/>
              </w:rPr>
            </w:pPr>
          </w:p>
        </w:tc>
      </w:tr>
      <w:tr w:rsidR="00D91B95" w:rsidRPr="002E354C" w14:paraId="5D254049" w14:textId="77777777" w:rsidTr="005A7743">
        <w:trPr>
          <w:trHeight w:val="356"/>
        </w:trPr>
        <w:tc>
          <w:tcPr>
            <w:tcW w:w="817" w:type="dxa"/>
          </w:tcPr>
          <w:p w14:paraId="02D45F4A" w14:textId="77777777" w:rsidR="00D91B95" w:rsidRPr="00473B10" w:rsidRDefault="00D91B95" w:rsidP="000622AD">
            <w:pPr>
              <w:rPr>
                <w:color w:val="000000"/>
              </w:rPr>
            </w:pPr>
            <w:r w:rsidRPr="00473B10">
              <w:t xml:space="preserve">2.1 </w:t>
            </w:r>
          </w:p>
        </w:tc>
        <w:tc>
          <w:tcPr>
            <w:tcW w:w="3119" w:type="dxa"/>
          </w:tcPr>
          <w:p w14:paraId="285854C7" w14:textId="77777777" w:rsidR="00D91B95" w:rsidRPr="00473B10" w:rsidRDefault="00D91B95" w:rsidP="000622AD">
            <w:pPr>
              <w:rPr>
                <w:color w:val="000000"/>
              </w:rPr>
            </w:pPr>
            <w:r w:rsidRPr="00473B10">
              <w:t xml:space="preserve">Simple overview of the purpose of the system </w:t>
            </w:r>
          </w:p>
        </w:tc>
        <w:tc>
          <w:tcPr>
            <w:tcW w:w="6838" w:type="dxa"/>
          </w:tcPr>
          <w:p w14:paraId="4D4A7361" w14:textId="77777777" w:rsidR="00EE0542" w:rsidRDefault="00EE0542" w:rsidP="004C2F14">
            <w:pPr>
              <w:autoSpaceDE w:val="0"/>
              <w:autoSpaceDN w:val="0"/>
              <w:adjustRightInd w:val="0"/>
              <w:rPr>
                <w:rFonts w:cs="Arial"/>
                <w:iCs/>
              </w:rPr>
            </w:pPr>
            <w:r w:rsidRPr="00EE0542">
              <w:rPr>
                <w:rFonts w:cs="Arial"/>
                <w:iCs/>
              </w:rPr>
              <w:t xml:space="preserve">PharmOutcomes/Outcomes4Health (the system) is a secure, web-based clinical and service management data collection and communications platform that allows patient-facing entry of service information and personal sensitive data.  Encryption levels and system design make The System suitable for recording and storing patient-sensitive data and meets the requirements of Data Protection Regulations, including GDPR, and Level 3 of the NHS Information Governance Framework.  </w:t>
            </w:r>
          </w:p>
          <w:p w14:paraId="5FB9274B" w14:textId="0DCBD3D2" w:rsidR="00D91B95" w:rsidRPr="002E354C" w:rsidRDefault="00AD7979" w:rsidP="004C2F14">
            <w:pPr>
              <w:autoSpaceDE w:val="0"/>
              <w:autoSpaceDN w:val="0"/>
              <w:adjustRightInd w:val="0"/>
              <w:rPr>
                <w:rFonts w:asciiTheme="minorHAnsi" w:hAnsiTheme="minorHAnsi" w:cs="Arial"/>
                <w:color w:val="000000"/>
              </w:rPr>
            </w:pPr>
            <w:r w:rsidRPr="00473B10">
              <w:rPr>
                <w:rFonts w:cs="Arial"/>
                <w:iCs/>
              </w:rPr>
              <w:t xml:space="preserve">The </w:t>
            </w:r>
            <w:r w:rsidR="00EE0542">
              <w:rPr>
                <w:rFonts w:cs="Arial"/>
                <w:iCs/>
              </w:rPr>
              <w:t xml:space="preserve">system </w:t>
            </w:r>
            <w:r w:rsidR="00D91B95" w:rsidRPr="00473B10">
              <w:rPr>
                <w:rFonts w:cs="Arial"/>
                <w:iCs/>
              </w:rPr>
              <w:t xml:space="preserve">is used by </w:t>
            </w:r>
            <w:r w:rsidR="004C2F14" w:rsidRPr="004C2F14">
              <w:rPr>
                <w:rFonts w:cs="Arial"/>
                <w:iCs/>
              </w:rPr>
              <w:t>[Your Organisation]</w:t>
            </w:r>
            <w:r w:rsidRPr="00473B10">
              <w:rPr>
                <w:rFonts w:cs="Arial"/>
                <w:iCs/>
              </w:rPr>
              <w:t xml:space="preserve"> to support the </w:t>
            </w:r>
            <w:r w:rsidR="004C2F14" w:rsidRPr="004C2F14">
              <w:rPr>
                <w:rFonts w:cs="Arial"/>
                <w:iCs/>
              </w:rPr>
              <w:t>provision of services by [community pharmacies/general practitioners/third-sector providers]</w:t>
            </w:r>
            <w:r w:rsidRPr="00473B10">
              <w:rPr>
                <w:rFonts w:cs="Arial"/>
                <w:iCs/>
              </w:rPr>
              <w:t>.</w:t>
            </w:r>
          </w:p>
        </w:tc>
      </w:tr>
      <w:tr w:rsidR="00D91B95" w:rsidRPr="002E354C" w14:paraId="60F0A8E3" w14:textId="77777777" w:rsidTr="005A7743">
        <w:trPr>
          <w:trHeight w:val="501"/>
        </w:trPr>
        <w:tc>
          <w:tcPr>
            <w:tcW w:w="817" w:type="dxa"/>
          </w:tcPr>
          <w:p w14:paraId="79201AC4" w14:textId="77777777" w:rsidR="00D91B95" w:rsidRPr="00473B10" w:rsidRDefault="00D91B95" w:rsidP="000622AD">
            <w:pPr>
              <w:rPr>
                <w:color w:val="000000"/>
              </w:rPr>
            </w:pPr>
            <w:r w:rsidRPr="00473B10">
              <w:t xml:space="preserve">2.2 </w:t>
            </w:r>
          </w:p>
        </w:tc>
        <w:tc>
          <w:tcPr>
            <w:tcW w:w="3119" w:type="dxa"/>
          </w:tcPr>
          <w:p w14:paraId="5FAFC0C5" w14:textId="77777777" w:rsidR="00D91B95" w:rsidRPr="00473B10" w:rsidRDefault="00D91B95" w:rsidP="000622AD">
            <w:pPr>
              <w:rPr>
                <w:color w:val="000000"/>
              </w:rPr>
            </w:pPr>
            <w:r w:rsidRPr="00473B10">
              <w:t xml:space="preserve">Scope/ access </w:t>
            </w:r>
          </w:p>
        </w:tc>
        <w:tc>
          <w:tcPr>
            <w:tcW w:w="6838" w:type="dxa"/>
          </w:tcPr>
          <w:p w14:paraId="7483313C" w14:textId="77777777" w:rsidR="004C2F14" w:rsidRPr="004C2F14" w:rsidRDefault="004C2F14" w:rsidP="00473B10">
            <w:pPr>
              <w:rPr>
                <w:rFonts w:cs="Arial"/>
                <w:iCs/>
              </w:rPr>
            </w:pPr>
            <w:r w:rsidRPr="004C2F14">
              <w:rPr>
                <w:i/>
              </w:rPr>
              <w:t>Within the commissioning organisation</w:t>
            </w:r>
            <w:r w:rsidR="00473B10">
              <w:rPr>
                <w:i/>
              </w:rPr>
              <w:br/>
            </w:r>
            <w:r w:rsidRPr="004C2F14">
              <w:rPr>
                <w:rFonts w:cs="Arial"/>
                <w:iCs/>
              </w:rPr>
              <w:t>The system has approximately [X] users</w:t>
            </w:r>
          </w:p>
          <w:p w14:paraId="6804CBAC" w14:textId="77777777" w:rsidR="004C2F14" w:rsidRPr="004C2F14" w:rsidRDefault="004C2F14" w:rsidP="00473B10">
            <w:pPr>
              <w:rPr>
                <w:rFonts w:cs="Arial"/>
                <w:iCs/>
              </w:rPr>
            </w:pPr>
            <w:r w:rsidRPr="004C2F14">
              <w:rPr>
                <w:i/>
              </w:rPr>
              <w:t>Within provider organisations</w:t>
            </w:r>
            <w:r w:rsidR="00473B10">
              <w:rPr>
                <w:i/>
              </w:rPr>
              <w:br/>
            </w:r>
            <w:r w:rsidRPr="004C2F14">
              <w:rPr>
                <w:rFonts w:cs="Arial"/>
                <w:iCs/>
              </w:rPr>
              <w:t>The system will be used by approximately [X] provider organisations</w:t>
            </w:r>
          </w:p>
          <w:p w14:paraId="1B066F83" w14:textId="77777777" w:rsidR="00D91B95" w:rsidRPr="002E354C" w:rsidRDefault="004C2F14" w:rsidP="00473B10">
            <w:pPr>
              <w:rPr>
                <w:rFonts w:asciiTheme="minorHAnsi" w:hAnsiTheme="minorHAnsi" w:cs="Arial"/>
                <w:color w:val="000000"/>
              </w:rPr>
            </w:pPr>
            <w:r w:rsidRPr="004C2F14">
              <w:rPr>
                <w:i/>
              </w:rPr>
              <w:t>Reporting of Information</w:t>
            </w:r>
            <w:r w:rsidR="00473B10">
              <w:rPr>
                <w:i/>
              </w:rPr>
              <w:br/>
            </w:r>
            <w:r w:rsidRPr="004C2F14">
              <w:rPr>
                <w:rFonts w:cs="Arial"/>
                <w:iCs/>
              </w:rPr>
              <w:t>Anonymised d</w:t>
            </w:r>
            <w:r w:rsidR="00D91B95" w:rsidRPr="00473B10">
              <w:rPr>
                <w:rFonts w:cs="Arial"/>
                <w:iCs/>
              </w:rPr>
              <w:t xml:space="preserve">ata from the system is used to report activity to </w:t>
            </w:r>
            <w:r w:rsidRPr="004C2F14">
              <w:rPr>
                <w:rFonts w:cs="Arial"/>
                <w:iCs/>
              </w:rPr>
              <w:t>[X]</w:t>
            </w:r>
          </w:p>
        </w:tc>
      </w:tr>
    </w:tbl>
    <w:p w14:paraId="0B8C046E" w14:textId="77777777" w:rsidR="005A7743" w:rsidRDefault="005A7743"/>
    <w:tbl>
      <w:tblPr>
        <w:tblStyle w:val="TableGrid"/>
        <w:tblW w:w="10774" w:type="dxa"/>
        <w:tblLayout w:type="fixed"/>
        <w:tblLook w:val="0620" w:firstRow="1" w:lastRow="0" w:firstColumn="0" w:lastColumn="0" w:noHBand="1" w:noVBand="1"/>
      </w:tblPr>
      <w:tblGrid>
        <w:gridCol w:w="817"/>
        <w:gridCol w:w="3119"/>
        <w:gridCol w:w="6838"/>
      </w:tblGrid>
      <w:tr w:rsidR="004C2F14" w:rsidRPr="002E354C" w14:paraId="0086E8B8" w14:textId="77777777" w:rsidTr="004C2F14">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15929C06" w14:textId="77777777" w:rsidR="004C2F14" w:rsidRPr="004C2F14" w:rsidRDefault="004C2F14" w:rsidP="00527062">
            <w:pPr>
              <w:rPr>
                <w:color w:val="000000"/>
              </w:rPr>
            </w:pPr>
            <w:r w:rsidRPr="004C2F14">
              <w:t>3.</w:t>
            </w:r>
          </w:p>
        </w:tc>
        <w:tc>
          <w:tcPr>
            <w:tcW w:w="3119" w:type="dxa"/>
          </w:tcPr>
          <w:p w14:paraId="34783E2A" w14:textId="77777777" w:rsidR="004C2F14" w:rsidRPr="002E354C" w:rsidRDefault="004C2F14" w:rsidP="00527062">
            <w:r>
              <w:t>Software</w:t>
            </w:r>
            <w:r w:rsidRPr="002E354C">
              <w:t xml:space="preserve"> </w:t>
            </w:r>
          </w:p>
        </w:tc>
        <w:tc>
          <w:tcPr>
            <w:tcW w:w="6838" w:type="dxa"/>
          </w:tcPr>
          <w:p w14:paraId="03F59CA4" w14:textId="77777777" w:rsidR="004C2F14" w:rsidRPr="004C2F14" w:rsidRDefault="004C2F14" w:rsidP="00527062"/>
        </w:tc>
      </w:tr>
      <w:tr w:rsidR="00D91B95" w:rsidRPr="002E354C" w14:paraId="6C343E10" w14:textId="77777777" w:rsidTr="004C2F14">
        <w:trPr>
          <w:trHeight w:val="356"/>
        </w:trPr>
        <w:tc>
          <w:tcPr>
            <w:tcW w:w="817" w:type="dxa"/>
          </w:tcPr>
          <w:p w14:paraId="529A839B" w14:textId="77777777" w:rsidR="00D91B95" w:rsidRPr="004C2F14" w:rsidRDefault="00D91B95" w:rsidP="004C2F14">
            <w:pPr>
              <w:rPr>
                <w:color w:val="000000"/>
              </w:rPr>
            </w:pPr>
            <w:r w:rsidRPr="004C2F14">
              <w:t xml:space="preserve">3.1 </w:t>
            </w:r>
          </w:p>
        </w:tc>
        <w:tc>
          <w:tcPr>
            <w:tcW w:w="3119" w:type="dxa"/>
          </w:tcPr>
          <w:p w14:paraId="0CB7A3F6" w14:textId="77777777" w:rsidR="00D91B95" w:rsidRPr="002E354C" w:rsidRDefault="00D91B95" w:rsidP="004C2F14">
            <w:r w:rsidRPr="002E354C">
              <w:t xml:space="preserve">Details of software where applicable </w:t>
            </w:r>
          </w:p>
        </w:tc>
        <w:tc>
          <w:tcPr>
            <w:tcW w:w="6838" w:type="dxa"/>
          </w:tcPr>
          <w:p w14:paraId="7C19BA5A" w14:textId="77777777" w:rsidR="004C2F14" w:rsidRPr="004C2F14" w:rsidRDefault="00473B10" w:rsidP="004C2F14">
            <w:pPr>
              <w:rPr>
                <w:i/>
              </w:rPr>
            </w:pPr>
            <w:r>
              <w:rPr>
                <w:i/>
              </w:rPr>
              <w:t>PharmOutcomes is a secure internet-</w:t>
            </w:r>
            <w:r w:rsidR="004C2F14" w:rsidRPr="004C2F14">
              <w:rPr>
                <w:i/>
              </w:rPr>
              <w:t xml:space="preserve">based system. It will run on any currently supported full featured browser with </w:t>
            </w:r>
            <w:proofErr w:type="spellStart"/>
            <w:r w:rsidR="004C2F14" w:rsidRPr="004C2F14">
              <w:rPr>
                <w:i/>
              </w:rPr>
              <w:t>javascript</w:t>
            </w:r>
            <w:proofErr w:type="spellEnd"/>
            <w:r w:rsidR="004C2F14" w:rsidRPr="004C2F14">
              <w:rPr>
                <w:i/>
              </w:rPr>
              <w:t xml:space="preserve"> enabled. No information or service is stored on commissioner’s servers or user’s computers, beyond those items that they manually download and cached images, except a single browser cookie which maintains state between transactions and is strictly necessary for system operation.</w:t>
            </w:r>
          </w:p>
          <w:p w14:paraId="020F126C" w14:textId="35811E1C" w:rsidR="00D91B95" w:rsidRPr="004C2F14" w:rsidRDefault="00D91B95" w:rsidP="004C2F14">
            <w:r w:rsidRPr="004C2F14">
              <w:t>The system is designed</w:t>
            </w:r>
            <w:r w:rsidR="004C2F14">
              <w:t>, developed and maintained</w:t>
            </w:r>
            <w:r w:rsidRPr="004C2F14">
              <w:t xml:space="preserve"> </w:t>
            </w:r>
            <w:r w:rsidR="004C2F14">
              <w:t>by:</w:t>
            </w:r>
            <w:r w:rsidR="004C2F14">
              <w:br/>
            </w:r>
            <w:r w:rsidR="00E25BD7" w:rsidRPr="004C2F14">
              <w:t>Pinnacle Health Partnership LLP</w:t>
            </w:r>
            <w:r w:rsidR="004C2F14">
              <w:br/>
            </w:r>
            <w:r w:rsidR="00EE0542">
              <w:t xml:space="preserve">Registered Address:  </w:t>
            </w:r>
            <w:r w:rsidR="004C2F14">
              <w:t>1</w:t>
            </w:r>
            <w:r w:rsidR="004C2F14" w:rsidRPr="004C2F14">
              <w:rPr>
                <w:vertAlign w:val="superscript"/>
              </w:rPr>
              <w:t>st</w:t>
            </w:r>
            <w:r w:rsidR="004C2F14">
              <w:t xml:space="preserve"> Floor Weatherwise Building, Well Road, East Cowes PO32 6SP</w:t>
            </w:r>
          </w:p>
          <w:p w14:paraId="1742794D" w14:textId="77777777" w:rsidR="00D91B95" w:rsidRPr="004C2F14" w:rsidRDefault="004C2F14" w:rsidP="00473B10">
            <w:r>
              <w:t>A license for [multiple services/a single service] are held for [X] providers</w:t>
            </w:r>
          </w:p>
        </w:tc>
      </w:tr>
    </w:tbl>
    <w:p w14:paraId="2B3DDA69" w14:textId="77777777" w:rsidR="004C2F14" w:rsidRDefault="004C2F14"/>
    <w:tbl>
      <w:tblPr>
        <w:tblStyle w:val="TableGrid"/>
        <w:tblW w:w="10774" w:type="dxa"/>
        <w:tblLayout w:type="fixed"/>
        <w:tblLook w:val="0620" w:firstRow="1" w:lastRow="0" w:firstColumn="0" w:lastColumn="0" w:noHBand="1" w:noVBand="1"/>
      </w:tblPr>
      <w:tblGrid>
        <w:gridCol w:w="817"/>
        <w:gridCol w:w="3119"/>
        <w:gridCol w:w="6838"/>
      </w:tblGrid>
      <w:tr w:rsidR="00473B10" w:rsidRPr="002E354C" w14:paraId="24B7A611" w14:textId="77777777" w:rsidTr="00473B10">
        <w:trPr>
          <w:cnfStyle w:val="100000000000" w:firstRow="1" w:lastRow="0" w:firstColumn="0" w:lastColumn="0" w:oddVBand="0" w:evenVBand="0" w:oddHBand="0" w:evenHBand="0" w:firstRowFirstColumn="0" w:firstRowLastColumn="0" w:lastRowFirstColumn="0" w:lastRowLastColumn="0"/>
          <w:trHeight w:val="229"/>
        </w:trPr>
        <w:tc>
          <w:tcPr>
            <w:tcW w:w="817" w:type="dxa"/>
          </w:tcPr>
          <w:p w14:paraId="7EF0A583" w14:textId="77777777" w:rsidR="00473B10" w:rsidRPr="004C2F14" w:rsidRDefault="00473B10" w:rsidP="00527062">
            <w:pPr>
              <w:rPr>
                <w:color w:val="000000"/>
              </w:rPr>
            </w:pPr>
            <w:r w:rsidRPr="004C2F14">
              <w:lastRenderedPageBreak/>
              <w:t>4</w:t>
            </w:r>
            <w:r>
              <w:t>.</w:t>
            </w:r>
          </w:p>
        </w:tc>
        <w:tc>
          <w:tcPr>
            <w:tcW w:w="3119" w:type="dxa"/>
          </w:tcPr>
          <w:p w14:paraId="710A9BB5" w14:textId="77777777" w:rsidR="00473B10" w:rsidRPr="002E354C" w:rsidRDefault="00473B10" w:rsidP="00527062">
            <w:r>
              <w:t>H</w:t>
            </w:r>
            <w:r w:rsidRPr="002E354C">
              <w:t xml:space="preserve">ardware </w:t>
            </w:r>
          </w:p>
        </w:tc>
        <w:tc>
          <w:tcPr>
            <w:tcW w:w="6838" w:type="dxa"/>
          </w:tcPr>
          <w:p w14:paraId="3F04582E" w14:textId="77777777" w:rsidR="00473B10" w:rsidRPr="004C2F14" w:rsidRDefault="00473B10" w:rsidP="00527062"/>
        </w:tc>
      </w:tr>
      <w:tr w:rsidR="00D91B95" w:rsidRPr="002E354C" w14:paraId="22A9FDA2" w14:textId="77777777" w:rsidTr="00473B10">
        <w:trPr>
          <w:trHeight w:val="229"/>
        </w:trPr>
        <w:tc>
          <w:tcPr>
            <w:tcW w:w="817" w:type="dxa"/>
          </w:tcPr>
          <w:p w14:paraId="346AAD59" w14:textId="77777777" w:rsidR="00D91B95" w:rsidRPr="004C2F14" w:rsidRDefault="00D91B95" w:rsidP="004C2F14">
            <w:pPr>
              <w:rPr>
                <w:color w:val="000000"/>
              </w:rPr>
            </w:pPr>
            <w:r w:rsidRPr="004C2F14">
              <w:t xml:space="preserve">4.1 </w:t>
            </w:r>
          </w:p>
        </w:tc>
        <w:tc>
          <w:tcPr>
            <w:tcW w:w="3119" w:type="dxa"/>
          </w:tcPr>
          <w:p w14:paraId="7B88FAA2" w14:textId="77777777" w:rsidR="00D91B95" w:rsidRPr="002E354C" w:rsidRDefault="00D91B95" w:rsidP="004C2F14">
            <w:r w:rsidRPr="002E354C">
              <w:t xml:space="preserve">Details of hardware </w:t>
            </w:r>
          </w:p>
        </w:tc>
        <w:tc>
          <w:tcPr>
            <w:tcW w:w="6838" w:type="dxa"/>
          </w:tcPr>
          <w:p w14:paraId="10150880" w14:textId="77777777" w:rsidR="00D91B95" w:rsidRDefault="00EE0542" w:rsidP="00EE0542">
            <w:r>
              <w:t xml:space="preserve">PharmOutcomes/Outcomes4Health is held on a secure server infrastructure hosted entirely within the UK by Memset Ltd, Building 87, </w:t>
            </w:r>
            <w:proofErr w:type="spellStart"/>
            <w:r>
              <w:t>Dunsfold</w:t>
            </w:r>
            <w:proofErr w:type="spellEnd"/>
            <w:r>
              <w:t xml:space="preserve"> Park, </w:t>
            </w:r>
            <w:proofErr w:type="spellStart"/>
            <w:r>
              <w:t>Stovolds</w:t>
            </w:r>
            <w:proofErr w:type="spellEnd"/>
            <w:r>
              <w:t xml:space="preserve"> Hill, Cranleigh, GU6 8TB and Unit 2, </w:t>
            </w:r>
            <w:proofErr w:type="spellStart"/>
            <w:r>
              <w:t>Smallmead</w:t>
            </w:r>
            <w:proofErr w:type="spellEnd"/>
            <w:r>
              <w:t xml:space="preserve"> Road, Reading,  RG2 0QS.</w:t>
            </w:r>
          </w:p>
          <w:p w14:paraId="22C5AEA4" w14:textId="6C3FB22D" w:rsidR="00EE0542" w:rsidRDefault="00EE0542" w:rsidP="00EE0542">
            <w:r>
              <w:t>The Data Centre is accredited to HSE standard to house the PSN - (Public Services Network) Assured and PSN Protected networks</w:t>
            </w:r>
          </w:p>
          <w:p w14:paraId="510407BF" w14:textId="14C99D0D" w:rsidR="00EE0542" w:rsidRPr="004C2F14" w:rsidRDefault="00EE0542" w:rsidP="00EE0542">
            <w:r>
              <w:t>Memset operates an ISO 27001 certified Information Security Management System that provides mature, scalable and audited management of security policy, issues and continual improvement.</w:t>
            </w:r>
          </w:p>
        </w:tc>
      </w:tr>
    </w:tbl>
    <w:p w14:paraId="6E74021F" w14:textId="77777777" w:rsidR="00473B10" w:rsidRPr="00473B10" w:rsidRDefault="00473B10" w:rsidP="00473B10"/>
    <w:tbl>
      <w:tblPr>
        <w:tblStyle w:val="TableGrid"/>
        <w:tblW w:w="10774" w:type="dxa"/>
        <w:tblLayout w:type="fixed"/>
        <w:tblLook w:val="0620" w:firstRow="1" w:lastRow="0" w:firstColumn="0" w:lastColumn="0" w:noHBand="1" w:noVBand="1"/>
      </w:tblPr>
      <w:tblGrid>
        <w:gridCol w:w="817"/>
        <w:gridCol w:w="3119"/>
        <w:gridCol w:w="6838"/>
      </w:tblGrid>
      <w:tr w:rsidR="00473B10" w:rsidRPr="002E354C" w14:paraId="746AC0B1" w14:textId="77777777" w:rsidTr="00473B10">
        <w:trPr>
          <w:cnfStyle w:val="100000000000" w:firstRow="1" w:lastRow="0" w:firstColumn="0" w:lastColumn="0" w:oddVBand="0" w:evenVBand="0" w:oddHBand="0" w:evenHBand="0" w:firstRowFirstColumn="0" w:firstRowLastColumn="0" w:lastRowFirstColumn="0" w:lastRowLastColumn="0"/>
          <w:trHeight w:val="609"/>
        </w:trPr>
        <w:tc>
          <w:tcPr>
            <w:tcW w:w="817" w:type="dxa"/>
          </w:tcPr>
          <w:p w14:paraId="73824A08" w14:textId="77777777" w:rsidR="00473B10" w:rsidRPr="004C2F14" w:rsidRDefault="00473B10" w:rsidP="00527062">
            <w:pPr>
              <w:rPr>
                <w:color w:val="000000"/>
              </w:rPr>
            </w:pPr>
            <w:r w:rsidRPr="004C2F14">
              <w:t>5.</w:t>
            </w:r>
          </w:p>
        </w:tc>
        <w:tc>
          <w:tcPr>
            <w:tcW w:w="3119" w:type="dxa"/>
          </w:tcPr>
          <w:p w14:paraId="685F0EF6" w14:textId="77777777" w:rsidR="00473B10" w:rsidRPr="002E354C" w:rsidRDefault="00473B10" w:rsidP="00527062">
            <w:r>
              <w:t>Data Retention</w:t>
            </w:r>
          </w:p>
        </w:tc>
        <w:tc>
          <w:tcPr>
            <w:tcW w:w="6838" w:type="dxa"/>
          </w:tcPr>
          <w:p w14:paraId="21CDEF87" w14:textId="77777777" w:rsidR="00473B10" w:rsidRPr="004C2F14" w:rsidRDefault="00473B10" w:rsidP="00527062"/>
        </w:tc>
      </w:tr>
      <w:tr w:rsidR="00D91B95" w:rsidRPr="002E354C" w14:paraId="76A3ED11" w14:textId="77777777" w:rsidTr="00473B10">
        <w:trPr>
          <w:trHeight w:val="609"/>
        </w:trPr>
        <w:tc>
          <w:tcPr>
            <w:tcW w:w="817" w:type="dxa"/>
          </w:tcPr>
          <w:p w14:paraId="3E6F3E69" w14:textId="77777777" w:rsidR="00D91B95" w:rsidRPr="004C2F14" w:rsidRDefault="00D91B95" w:rsidP="004C2F14">
            <w:pPr>
              <w:rPr>
                <w:color w:val="000000"/>
              </w:rPr>
            </w:pPr>
            <w:r w:rsidRPr="004C2F14">
              <w:t xml:space="preserve">5.1 </w:t>
            </w:r>
          </w:p>
        </w:tc>
        <w:tc>
          <w:tcPr>
            <w:tcW w:w="3119" w:type="dxa"/>
          </w:tcPr>
          <w:p w14:paraId="4CBA2294" w14:textId="77777777" w:rsidR="00D91B95" w:rsidRPr="002E354C" w:rsidRDefault="00D91B95" w:rsidP="004C2F14">
            <w:r w:rsidRPr="002E354C">
              <w:t xml:space="preserve">Details of the data collected and recorded on the system </w:t>
            </w:r>
          </w:p>
        </w:tc>
        <w:tc>
          <w:tcPr>
            <w:tcW w:w="6838" w:type="dxa"/>
          </w:tcPr>
          <w:p w14:paraId="1BCD58D7" w14:textId="77777777" w:rsidR="00473B10" w:rsidRDefault="001B0ED6" w:rsidP="00473B10">
            <w:r w:rsidRPr="00473B10">
              <w:t>The records entered onto PharmOutcomes by providers remain their data</w:t>
            </w:r>
            <w:r w:rsidR="00473B10">
              <w:t xml:space="preserve"> as Data Controllers and</w:t>
            </w:r>
            <w:r w:rsidRPr="00473B10">
              <w:t xml:space="preserve"> form</w:t>
            </w:r>
            <w:r w:rsidR="00473B10">
              <w:t>s</w:t>
            </w:r>
            <w:r w:rsidRPr="00473B10">
              <w:t xml:space="preserve"> part of a clinical record for a he</w:t>
            </w:r>
            <w:r w:rsidR="00473B10">
              <w:t>althcare professional/provider.</w:t>
            </w:r>
          </w:p>
          <w:p w14:paraId="2FD5F81D" w14:textId="2372B8A2" w:rsidR="00473B10" w:rsidRDefault="001B0ED6" w:rsidP="00473B10">
            <w:r w:rsidRPr="00473B10">
              <w:t>This information is held by PharmOutcomes</w:t>
            </w:r>
            <w:r w:rsidR="00473B10">
              <w:t>/Outcomes4Health</w:t>
            </w:r>
            <w:r w:rsidRPr="00473B10">
              <w:t xml:space="preserve"> for as long as necessary</w:t>
            </w:r>
            <w:r w:rsidR="00473B10">
              <w:t xml:space="preserve">. </w:t>
            </w:r>
            <w:r w:rsidR="00EE0542">
              <w:t>Please consult the c</w:t>
            </w:r>
            <w:r w:rsidRPr="00473B10">
              <w:t xml:space="preserve">urrent NHS guidelines </w:t>
            </w:r>
            <w:hyperlink r:id="rId4" w:history="1">
              <w:r w:rsidR="00EE0542" w:rsidRPr="00C60F1E">
                <w:rPr>
                  <w:rStyle w:val="Hyperlink"/>
                  <w:rFonts w:cs="Calibri"/>
                </w:rPr>
                <w:t>https://digital.nhs.uk/article/1202/Records-Management-Code-of-Practice-for-Health-and-Social-Care-2016</w:t>
              </w:r>
            </w:hyperlink>
            <w:r w:rsidR="00EE0542" w:rsidRPr="00C60F1E">
              <w:rPr>
                <w:rFonts w:cs="Calibri"/>
              </w:rPr>
              <w:t>)</w:t>
            </w:r>
          </w:p>
          <w:p w14:paraId="3E9C395E" w14:textId="77777777" w:rsidR="001B0ED6" w:rsidRPr="00473B10" w:rsidRDefault="00473B10" w:rsidP="00473B10">
            <w:r>
              <w:t xml:space="preserve">In the event that </w:t>
            </w:r>
            <w:r w:rsidR="001B0ED6" w:rsidRPr="00473B10">
              <w:t>the service is terminated p</w:t>
            </w:r>
            <w:r>
              <w:t>rior to the end of that period, p</w:t>
            </w:r>
            <w:r w:rsidR="001B0ED6" w:rsidRPr="00473B10">
              <w:t>roviders are able to download and</w:t>
            </w:r>
            <w:r>
              <w:t>/or</w:t>
            </w:r>
            <w:r w:rsidR="001B0ED6" w:rsidRPr="00473B10">
              <w:t xml:space="preserve"> print a copy of their records in order to retain them for the appropriate period of time.</w:t>
            </w:r>
          </w:p>
          <w:p w14:paraId="0A5193E8" w14:textId="77777777" w:rsidR="00D91B95" w:rsidRPr="004C2F14" w:rsidRDefault="00D91B95" w:rsidP="004C2F14">
            <w:r w:rsidRPr="004C2F14">
              <w:t>The information asset owner</w:t>
            </w:r>
            <w:r w:rsidR="001B0ED6" w:rsidRPr="004C2F14">
              <w:t xml:space="preserve"> for the Commissioner</w:t>
            </w:r>
            <w:r w:rsidRPr="004C2F14">
              <w:t xml:space="preserve"> is responsible for ensuring that data is retained for the appropriate retention period and then deleted. </w:t>
            </w:r>
          </w:p>
        </w:tc>
      </w:tr>
    </w:tbl>
    <w:p w14:paraId="09CA9173" w14:textId="77777777" w:rsidR="00473B10" w:rsidRDefault="00473B10"/>
    <w:tbl>
      <w:tblPr>
        <w:tblStyle w:val="TableGrid"/>
        <w:tblW w:w="10774" w:type="dxa"/>
        <w:tblLayout w:type="fixed"/>
        <w:tblLook w:val="0620" w:firstRow="1" w:lastRow="0" w:firstColumn="0" w:lastColumn="0" w:noHBand="1" w:noVBand="1"/>
      </w:tblPr>
      <w:tblGrid>
        <w:gridCol w:w="817"/>
        <w:gridCol w:w="3119"/>
        <w:gridCol w:w="6838"/>
      </w:tblGrid>
      <w:tr w:rsidR="00473B10" w:rsidRPr="002E354C" w14:paraId="3C1BE1F1" w14:textId="77777777" w:rsidTr="00473B10">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3B3AAE63" w14:textId="77777777" w:rsidR="00473B10" w:rsidRPr="00473B10" w:rsidRDefault="00473B10" w:rsidP="00527062">
            <w:r w:rsidRPr="00473B10">
              <w:t>6.</w:t>
            </w:r>
          </w:p>
        </w:tc>
        <w:tc>
          <w:tcPr>
            <w:tcW w:w="3119" w:type="dxa"/>
          </w:tcPr>
          <w:p w14:paraId="5540DBFD" w14:textId="77777777" w:rsidR="00473B10" w:rsidRPr="00473B10" w:rsidRDefault="00473B10" w:rsidP="00527062">
            <w:r w:rsidRPr="00473B10">
              <w:t>Physical Security</w:t>
            </w:r>
          </w:p>
        </w:tc>
        <w:tc>
          <w:tcPr>
            <w:tcW w:w="6838" w:type="dxa"/>
          </w:tcPr>
          <w:p w14:paraId="34445273" w14:textId="77777777" w:rsidR="00473B10" w:rsidRPr="002E354C" w:rsidRDefault="00473B10" w:rsidP="00527062">
            <w:pPr>
              <w:rPr>
                <w:rFonts w:asciiTheme="minorHAnsi" w:hAnsiTheme="minorHAnsi"/>
              </w:rPr>
            </w:pPr>
            <w:r w:rsidRPr="00473B10">
              <w:rPr>
                <w:i/>
                <w:iCs/>
              </w:rPr>
              <w:t xml:space="preserve"> </w:t>
            </w:r>
          </w:p>
        </w:tc>
      </w:tr>
      <w:tr w:rsidR="00D91B95" w:rsidRPr="002E354C" w14:paraId="5B281C60" w14:textId="77777777" w:rsidTr="00473B10">
        <w:trPr>
          <w:trHeight w:val="356"/>
        </w:trPr>
        <w:tc>
          <w:tcPr>
            <w:tcW w:w="817" w:type="dxa"/>
          </w:tcPr>
          <w:p w14:paraId="14B79E10" w14:textId="77777777" w:rsidR="00D91B95" w:rsidRPr="00473B10" w:rsidRDefault="00D91B95" w:rsidP="00D91B95">
            <w:r w:rsidRPr="00473B10">
              <w:t xml:space="preserve">6.1 </w:t>
            </w:r>
          </w:p>
        </w:tc>
        <w:tc>
          <w:tcPr>
            <w:tcW w:w="3119" w:type="dxa"/>
          </w:tcPr>
          <w:p w14:paraId="6337988A" w14:textId="77777777" w:rsidR="00D91B95" w:rsidRPr="00473B10" w:rsidRDefault="00D91B95" w:rsidP="00D91B95">
            <w:r w:rsidRPr="00473B10">
              <w:t xml:space="preserve">Physical Security details </w:t>
            </w:r>
          </w:p>
        </w:tc>
        <w:tc>
          <w:tcPr>
            <w:tcW w:w="6838" w:type="dxa"/>
          </w:tcPr>
          <w:p w14:paraId="79D177DD" w14:textId="0CF04E43" w:rsidR="00134AC4" w:rsidRPr="00134AC4" w:rsidRDefault="00134AC4" w:rsidP="00134AC4">
            <w:pPr>
              <w:rPr>
                <w:iCs/>
              </w:rPr>
            </w:pPr>
            <w:r w:rsidRPr="00134AC4">
              <w:rPr>
                <w:iCs/>
              </w:rPr>
              <w:t>Having two data centres allows us to maintain a live copy of all data in two physical locations providing us increased resilience over a single data centre. The two data centres are connected by a dedicated fibre line separate from the main internet.</w:t>
            </w:r>
          </w:p>
          <w:p w14:paraId="73F05151" w14:textId="77777777" w:rsidR="00134AC4" w:rsidRPr="00134AC4" w:rsidRDefault="00134AC4" w:rsidP="00134AC4">
            <w:pPr>
              <w:rPr>
                <w:iCs/>
              </w:rPr>
            </w:pPr>
            <w:r w:rsidRPr="00134AC4">
              <w:rPr>
                <w:iCs/>
              </w:rPr>
              <w:t>•</w:t>
            </w:r>
            <w:r w:rsidRPr="00134AC4">
              <w:rPr>
                <w:iCs/>
              </w:rPr>
              <w:tab/>
              <w:t>8,500 Solar panels on-site</w:t>
            </w:r>
          </w:p>
          <w:p w14:paraId="656C9054" w14:textId="77777777" w:rsidR="00134AC4" w:rsidRPr="00134AC4" w:rsidRDefault="00134AC4" w:rsidP="00134AC4">
            <w:pPr>
              <w:rPr>
                <w:iCs/>
              </w:rPr>
            </w:pPr>
            <w:r w:rsidRPr="00134AC4">
              <w:rPr>
                <w:iCs/>
              </w:rPr>
              <w:t>•</w:t>
            </w:r>
            <w:r w:rsidRPr="00134AC4">
              <w:rPr>
                <w:iCs/>
              </w:rPr>
              <w:tab/>
              <w:t>Diverse power feeds to substation</w:t>
            </w:r>
          </w:p>
          <w:p w14:paraId="10E9C2C1" w14:textId="091C6528" w:rsidR="00134AC4" w:rsidRPr="00134AC4" w:rsidRDefault="00134AC4" w:rsidP="00134AC4">
            <w:pPr>
              <w:rPr>
                <w:iCs/>
              </w:rPr>
            </w:pPr>
            <w:r w:rsidRPr="00134AC4">
              <w:rPr>
                <w:iCs/>
              </w:rPr>
              <w:t>•</w:t>
            </w:r>
            <w:r w:rsidRPr="00134AC4">
              <w:rPr>
                <w:iCs/>
              </w:rPr>
              <w:tab/>
              <w:t>N+1 Generators with at least 36 hours of fuel on-site and refuel</w:t>
            </w:r>
            <w:r>
              <w:rPr>
                <w:iCs/>
              </w:rPr>
              <w:t xml:space="preserve"> </w:t>
            </w:r>
            <w:r w:rsidRPr="00134AC4">
              <w:rPr>
                <w:iCs/>
              </w:rPr>
              <w:t>provision</w:t>
            </w:r>
          </w:p>
          <w:p w14:paraId="72E13097" w14:textId="77777777" w:rsidR="00134AC4" w:rsidRPr="00134AC4" w:rsidRDefault="00134AC4" w:rsidP="00134AC4">
            <w:pPr>
              <w:rPr>
                <w:iCs/>
              </w:rPr>
            </w:pPr>
            <w:r w:rsidRPr="00134AC4">
              <w:rPr>
                <w:iCs/>
              </w:rPr>
              <w:t>•</w:t>
            </w:r>
            <w:r w:rsidRPr="00134AC4">
              <w:rPr>
                <w:iCs/>
              </w:rPr>
              <w:tab/>
              <w:t>N+1 UPS with capacity for full data centre.</w:t>
            </w:r>
          </w:p>
          <w:p w14:paraId="4411FFD3" w14:textId="7C3B04EE" w:rsidR="00134AC4" w:rsidRPr="00134AC4" w:rsidRDefault="00134AC4" w:rsidP="00134AC4">
            <w:pPr>
              <w:rPr>
                <w:iCs/>
              </w:rPr>
            </w:pPr>
            <w:r w:rsidRPr="00134AC4">
              <w:rPr>
                <w:iCs/>
              </w:rPr>
              <w:t>•</w:t>
            </w:r>
            <w:r w:rsidRPr="00134AC4">
              <w:rPr>
                <w:iCs/>
              </w:rPr>
              <w:tab/>
              <w:t>N+25% Adiabatic Coolers for main data centre hall and Air Conditioning for UPS batteries.</w:t>
            </w:r>
          </w:p>
          <w:p w14:paraId="01901BF2" w14:textId="77777777" w:rsidR="00134AC4" w:rsidRPr="00134AC4" w:rsidRDefault="00134AC4" w:rsidP="00134AC4">
            <w:pPr>
              <w:rPr>
                <w:iCs/>
              </w:rPr>
            </w:pPr>
            <w:r w:rsidRPr="00134AC4">
              <w:rPr>
                <w:iCs/>
              </w:rPr>
              <w:t>•</w:t>
            </w:r>
            <w:r w:rsidRPr="00134AC4">
              <w:rPr>
                <w:iCs/>
              </w:rPr>
              <w:tab/>
              <w:t>Biometric authentication system</w:t>
            </w:r>
          </w:p>
          <w:p w14:paraId="108CC1AC" w14:textId="77777777" w:rsidR="00134AC4" w:rsidRPr="00134AC4" w:rsidRDefault="00134AC4" w:rsidP="00134AC4">
            <w:pPr>
              <w:rPr>
                <w:iCs/>
              </w:rPr>
            </w:pPr>
            <w:r w:rsidRPr="00134AC4">
              <w:rPr>
                <w:iCs/>
              </w:rPr>
              <w:t>•</w:t>
            </w:r>
            <w:r w:rsidRPr="00134AC4">
              <w:rPr>
                <w:iCs/>
              </w:rPr>
              <w:tab/>
              <w:t>Data centre located inside its own secure compound</w:t>
            </w:r>
          </w:p>
          <w:p w14:paraId="02EEA427" w14:textId="77777777" w:rsidR="00134AC4" w:rsidRPr="00134AC4" w:rsidRDefault="00134AC4" w:rsidP="00134AC4">
            <w:pPr>
              <w:rPr>
                <w:iCs/>
              </w:rPr>
            </w:pPr>
            <w:r w:rsidRPr="00134AC4">
              <w:rPr>
                <w:iCs/>
              </w:rPr>
              <w:t>•</w:t>
            </w:r>
            <w:r w:rsidRPr="00134AC4">
              <w:rPr>
                <w:iCs/>
              </w:rPr>
              <w:tab/>
              <w:t>Fencing and electric entry, including vehicle control systems</w:t>
            </w:r>
          </w:p>
          <w:p w14:paraId="181C21C8" w14:textId="77777777" w:rsidR="00134AC4" w:rsidRPr="00134AC4" w:rsidRDefault="00134AC4" w:rsidP="00134AC4">
            <w:pPr>
              <w:rPr>
                <w:iCs/>
              </w:rPr>
            </w:pPr>
            <w:r w:rsidRPr="00134AC4">
              <w:rPr>
                <w:iCs/>
              </w:rPr>
              <w:t>•</w:t>
            </w:r>
            <w:r w:rsidRPr="00134AC4">
              <w:rPr>
                <w:iCs/>
              </w:rPr>
              <w:tab/>
              <w:t>FM200 Waterless Fire Suppression System</w:t>
            </w:r>
          </w:p>
          <w:p w14:paraId="0A48BAEF" w14:textId="77777777" w:rsidR="00134AC4" w:rsidRPr="00134AC4" w:rsidRDefault="00134AC4" w:rsidP="00134AC4">
            <w:pPr>
              <w:rPr>
                <w:b/>
                <w:iCs/>
              </w:rPr>
            </w:pPr>
            <w:r w:rsidRPr="00134AC4">
              <w:rPr>
                <w:b/>
                <w:iCs/>
              </w:rPr>
              <w:t>Round the Clock Monitoring</w:t>
            </w:r>
          </w:p>
          <w:p w14:paraId="23381750" w14:textId="77777777" w:rsidR="00134AC4" w:rsidRPr="00134AC4" w:rsidRDefault="00134AC4" w:rsidP="00134AC4">
            <w:pPr>
              <w:rPr>
                <w:iCs/>
              </w:rPr>
            </w:pPr>
            <w:r w:rsidRPr="00134AC4">
              <w:rPr>
                <w:iCs/>
              </w:rPr>
              <w:lastRenderedPageBreak/>
              <w:t>Every system within the data centre is monitored and controlled from the on-site control room and maintained 24 x 7 x 365.</w:t>
            </w:r>
          </w:p>
          <w:p w14:paraId="39E327E6" w14:textId="77777777" w:rsidR="00134AC4" w:rsidRPr="0067575C" w:rsidRDefault="00134AC4" w:rsidP="00134AC4">
            <w:pPr>
              <w:rPr>
                <w:b/>
                <w:iCs/>
              </w:rPr>
            </w:pPr>
            <w:r w:rsidRPr="0067575C">
              <w:rPr>
                <w:b/>
                <w:iCs/>
              </w:rPr>
              <w:t>Physical Security</w:t>
            </w:r>
          </w:p>
          <w:p w14:paraId="5A7E7DDB" w14:textId="77777777" w:rsidR="00134AC4" w:rsidRPr="00134AC4" w:rsidRDefault="00134AC4" w:rsidP="00134AC4">
            <w:pPr>
              <w:rPr>
                <w:iCs/>
              </w:rPr>
            </w:pPr>
            <w:r w:rsidRPr="00134AC4">
              <w:rPr>
                <w:iCs/>
              </w:rPr>
              <w:t>Access to the data centre is strictly controlled, with manned security on-site 24/7. All access points in the data centre are monitored by dedicated internal security, utilizing individual card swipes, biometric scanners and CCTV. Security coverage spans from the heart of the facility to the outer compound.</w:t>
            </w:r>
          </w:p>
          <w:p w14:paraId="41AF0DE1" w14:textId="77777777" w:rsidR="00134AC4" w:rsidRPr="0067575C" w:rsidRDefault="00134AC4" w:rsidP="00134AC4">
            <w:pPr>
              <w:rPr>
                <w:b/>
                <w:iCs/>
              </w:rPr>
            </w:pPr>
            <w:r w:rsidRPr="0067575C">
              <w:rPr>
                <w:b/>
                <w:iCs/>
              </w:rPr>
              <w:t>Uninterrupted Power Supply</w:t>
            </w:r>
          </w:p>
          <w:p w14:paraId="73B449FA" w14:textId="77777777" w:rsidR="00134AC4" w:rsidRPr="00134AC4" w:rsidRDefault="00134AC4" w:rsidP="00134AC4">
            <w:pPr>
              <w:rPr>
                <w:iCs/>
              </w:rPr>
            </w:pPr>
            <w:r w:rsidRPr="00134AC4">
              <w:rPr>
                <w:iCs/>
              </w:rPr>
              <w:t>Should mains supply fail at any time, a series of generators seamlessly kick-in to power all hosted equipment supported by site-wide UPS system. Generators run for 36 hours with onsite fuel and are refuel-able in use.</w:t>
            </w:r>
          </w:p>
          <w:p w14:paraId="6686E278" w14:textId="77777777" w:rsidR="00134AC4" w:rsidRPr="0067575C" w:rsidRDefault="00134AC4" w:rsidP="00134AC4">
            <w:pPr>
              <w:rPr>
                <w:b/>
                <w:iCs/>
              </w:rPr>
            </w:pPr>
            <w:r w:rsidRPr="0067575C">
              <w:rPr>
                <w:b/>
                <w:iCs/>
              </w:rPr>
              <w:t>Cooling</w:t>
            </w:r>
          </w:p>
          <w:p w14:paraId="4A488521" w14:textId="5FAB101A" w:rsidR="00D91B95" w:rsidRPr="002E354C" w:rsidRDefault="00134AC4" w:rsidP="00134AC4">
            <w:pPr>
              <w:rPr>
                <w:rFonts w:asciiTheme="minorHAnsi" w:hAnsiTheme="minorHAnsi"/>
              </w:rPr>
            </w:pPr>
            <w:r w:rsidRPr="00134AC4">
              <w:rPr>
                <w:iCs/>
              </w:rPr>
              <w:t>The adiabatic cooling system is configured with N+25% built-in redundancy for when the data centre is operating at maximum capacity.</w:t>
            </w:r>
          </w:p>
        </w:tc>
      </w:tr>
    </w:tbl>
    <w:p w14:paraId="2CD58377" w14:textId="77777777" w:rsidR="00473B10" w:rsidRDefault="00473B10"/>
    <w:tbl>
      <w:tblPr>
        <w:tblStyle w:val="TableGrid"/>
        <w:tblW w:w="10774" w:type="dxa"/>
        <w:tblLayout w:type="fixed"/>
        <w:tblLook w:val="0620" w:firstRow="1" w:lastRow="0" w:firstColumn="0" w:lastColumn="0" w:noHBand="1" w:noVBand="1"/>
      </w:tblPr>
      <w:tblGrid>
        <w:gridCol w:w="817"/>
        <w:gridCol w:w="3119"/>
        <w:gridCol w:w="6838"/>
      </w:tblGrid>
      <w:tr w:rsidR="000622AD" w:rsidRPr="002E354C" w14:paraId="705CC3D4" w14:textId="77777777" w:rsidTr="000622AD">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162137FC" w14:textId="77777777" w:rsidR="000622AD" w:rsidRPr="00473B10" w:rsidRDefault="000622AD" w:rsidP="00527062">
            <w:r w:rsidRPr="00473B10">
              <w:t>7.</w:t>
            </w:r>
          </w:p>
        </w:tc>
        <w:tc>
          <w:tcPr>
            <w:tcW w:w="3119" w:type="dxa"/>
          </w:tcPr>
          <w:p w14:paraId="136D8A87" w14:textId="77777777" w:rsidR="000622AD" w:rsidRPr="00473B10" w:rsidRDefault="000622AD" w:rsidP="000622AD">
            <w:r>
              <w:t>Access Control</w:t>
            </w:r>
          </w:p>
        </w:tc>
        <w:tc>
          <w:tcPr>
            <w:tcW w:w="6838" w:type="dxa"/>
          </w:tcPr>
          <w:p w14:paraId="6C68178F" w14:textId="77777777" w:rsidR="000622AD" w:rsidRPr="00473B10" w:rsidRDefault="000622AD" w:rsidP="00527062"/>
        </w:tc>
      </w:tr>
      <w:tr w:rsidR="00D91B95" w:rsidRPr="002E354C" w14:paraId="156C93F5" w14:textId="77777777" w:rsidTr="000622AD">
        <w:trPr>
          <w:trHeight w:val="356"/>
        </w:trPr>
        <w:tc>
          <w:tcPr>
            <w:tcW w:w="817" w:type="dxa"/>
          </w:tcPr>
          <w:p w14:paraId="31D19806" w14:textId="77777777" w:rsidR="00D91B95" w:rsidRPr="00473B10" w:rsidRDefault="00D91B95" w:rsidP="00D91B95">
            <w:r w:rsidRPr="00473B10">
              <w:t xml:space="preserve">7.1 </w:t>
            </w:r>
          </w:p>
        </w:tc>
        <w:tc>
          <w:tcPr>
            <w:tcW w:w="3119" w:type="dxa"/>
          </w:tcPr>
          <w:p w14:paraId="50C1E955" w14:textId="77777777" w:rsidR="00D91B95" w:rsidRPr="00473B10" w:rsidRDefault="00D91B95" w:rsidP="00D91B95">
            <w:r w:rsidRPr="00473B10">
              <w:t xml:space="preserve">Who is responsible for controlling access to the system </w:t>
            </w:r>
          </w:p>
        </w:tc>
        <w:tc>
          <w:tcPr>
            <w:tcW w:w="6838" w:type="dxa"/>
          </w:tcPr>
          <w:p w14:paraId="3A2142D6" w14:textId="77777777" w:rsidR="000622AD" w:rsidRDefault="000622AD" w:rsidP="00D91B95">
            <w:r>
              <w:t>Individual providers are responsible for authorising individual users within their organisation.</w:t>
            </w:r>
          </w:p>
          <w:p w14:paraId="290DE73B" w14:textId="77777777" w:rsidR="00D91B95" w:rsidRPr="000622AD" w:rsidRDefault="000622AD" w:rsidP="000622AD">
            <w:r>
              <w:t>The commissioning organisation is responsible for authorising individual users within their organisation. Their job roles are [X].</w:t>
            </w:r>
          </w:p>
        </w:tc>
      </w:tr>
      <w:tr w:rsidR="00D91B95" w:rsidRPr="002E354C" w14:paraId="2CE2B781" w14:textId="77777777" w:rsidTr="000622AD">
        <w:trPr>
          <w:trHeight w:val="356"/>
        </w:trPr>
        <w:tc>
          <w:tcPr>
            <w:tcW w:w="817" w:type="dxa"/>
          </w:tcPr>
          <w:p w14:paraId="0174E976" w14:textId="77777777" w:rsidR="00D91B95" w:rsidRPr="00473B10" w:rsidRDefault="00D91B95" w:rsidP="00D91B95">
            <w:r w:rsidRPr="00473B10">
              <w:t xml:space="preserve">7.2 </w:t>
            </w:r>
          </w:p>
        </w:tc>
        <w:tc>
          <w:tcPr>
            <w:tcW w:w="3119" w:type="dxa"/>
          </w:tcPr>
          <w:p w14:paraId="7D2D03F8" w14:textId="77777777" w:rsidR="00D91B95" w:rsidRPr="00473B10" w:rsidRDefault="00D91B95" w:rsidP="00D91B95">
            <w:r w:rsidRPr="00473B10">
              <w:t xml:space="preserve">Who gives approval and what record is kept </w:t>
            </w:r>
          </w:p>
        </w:tc>
        <w:tc>
          <w:tcPr>
            <w:tcW w:w="6838" w:type="dxa"/>
          </w:tcPr>
          <w:p w14:paraId="42FE3276" w14:textId="77777777" w:rsidR="00D91B95" w:rsidRPr="000622AD" w:rsidRDefault="000622AD" w:rsidP="000622AD">
            <w:r w:rsidRPr="000622AD">
              <w:rPr>
                <w:iCs/>
              </w:rPr>
              <w:t>[X]</w:t>
            </w:r>
            <w:r w:rsidR="00D91B95" w:rsidRPr="000622AD">
              <w:rPr>
                <w:iCs/>
              </w:rPr>
              <w:t xml:space="preserve"> is responsible for setting up new users and this is recorded in </w:t>
            </w:r>
            <w:r>
              <w:rPr>
                <w:iCs/>
              </w:rPr>
              <w:t>[X</w:t>
            </w:r>
            <w:r w:rsidRPr="000622AD">
              <w:rPr>
                <w:iCs/>
              </w:rPr>
              <w:t>]</w:t>
            </w:r>
            <w:r>
              <w:rPr>
                <w:iCs/>
              </w:rPr>
              <w:t>.</w:t>
            </w:r>
          </w:p>
        </w:tc>
      </w:tr>
      <w:tr w:rsidR="00D91B95" w:rsidRPr="002E354C" w14:paraId="186575AE" w14:textId="77777777" w:rsidTr="000622AD">
        <w:trPr>
          <w:trHeight w:val="356"/>
        </w:trPr>
        <w:tc>
          <w:tcPr>
            <w:tcW w:w="817" w:type="dxa"/>
          </w:tcPr>
          <w:p w14:paraId="10A69327" w14:textId="77777777" w:rsidR="00D91B95" w:rsidRPr="00473B10" w:rsidRDefault="00D91B95" w:rsidP="00D91B95">
            <w:r w:rsidRPr="00473B10">
              <w:t xml:space="preserve">7.3 </w:t>
            </w:r>
          </w:p>
        </w:tc>
        <w:tc>
          <w:tcPr>
            <w:tcW w:w="3119" w:type="dxa"/>
          </w:tcPr>
          <w:p w14:paraId="6167F6FD" w14:textId="77777777" w:rsidR="00D91B95" w:rsidRPr="00473B10" w:rsidRDefault="00D91B95" w:rsidP="00D91B95">
            <w:r w:rsidRPr="00473B10">
              <w:t xml:space="preserve">Are users given unique id’s/ Is there a system admin role </w:t>
            </w:r>
          </w:p>
        </w:tc>
        <w:tc>
          <w:tcPr>
            <w:tcW w:w="6838" w:type="dxa"/>
          </w:tcPr>
          <w:p w14:paraId="6C7B2E1C" w14:textId="77777777" w:rsidR="00D91B95" w:rsidRDefault="00D91B95" w:rsidP="00D91B95">
            <w:pPr>
              <w:rPr>
                <w:iCs/>
              </w:rPr>
            </w:pPr>
            <w:r w:rsidRPr="000622AD">
              <w:rPr>
                <w:iCs/>
              </w:rPr>
              <w:t xml:space="preserve">All users are given their own </w:t>
            </w:r>
            <w:r w:rsidR="000622AD">
              <w:rPr>
                <w:iCs/>
              </w:rPr>
              <w:t>unique login and password.</w:t>
            </w:r>
          </w:p>
          <w:p w14:paraId="4CA4DF15" w14:textId="77777777" w:rsidR="000622AD" w:rsidRPr="000622AD" w:rsidRDefault="000622AD" w:rsidP="00D91B95">
            <w:r>
              <w:rPr>
                <w:iCs/>
              </w:rPr>
              <w:t>The commissioning organisation and the person noted at 7.2 above can provide differing levels of access, as required and appropriate.</w:t>
            </w:r>
          </w:p>
          <w:p w14:paraId="6C0F0CA8" w14:textId="77777777" w:rsidR="00D91B95" w:rsidRPr="00473B10" w:rsidRDefault="00D91B95" w:rsidP="00D91B95">
            <w:r w:rsidRPr="000622AD">
              <w:rPr>
                <w:iCs/>
              </w:rPr>
              <w:t>There are no generic codes.</w:t>
            </w:r>
            <w:r w:rsidRPr="00473B10">
              <w:rPr>
                <w:i/>
                <w:iCs/>
              </w:rPr>
              <w:t xml:space="preserve"> </w:t>
            </w:r>
          </w:p>
        </w:tc>
      </w:tr>
      <w:tr w:rsidR="00D91B95" w:rsidRPr="002E354C" w14:paraId="0F8D89C8" w14:textId="77777777" w:rsidTr="000622AD">
        <w:trPr>
          <w:trHeight w:val="355"/>
        </w:trPr>
        <w:tc>
          <w:tcPr>
            <w:tcW w:w="817" w:type="dxa"/>
          </w:tcPr>
          <w:p w14:paraId="07605660" w14:textId="77777777" w:rsidR="00D91B95" w:rsidRPr="00473B10" w:rsidRDefault="00D91B95" w:rsidP="00D91B95">
            <w:r w:rsidRPr="00473B10">
              <w:t xml:space="preserve">7.4 </w:t>
            </w:r>
          </w:p>
        </w:tc>
        <w:tc>
          <w:tcPr>
            <w:tcW w:w="3119" w:type="dxa"/>
          </w:tcPr>
          <w:p w14:paraId="15DE6344" w14:textId="77777777" w:rsidR="00D91B95" w:rsidRPr="00473B10" w:rsidRDefault="00D91B95" w:rsidP="00D91B95">
            <w:r w:rsidRPr="00473B10">
              <w:t xml:space="preserve">Password length requirement </w:t>
            </w:r>
          </w:p>
        </w:tc>
        <w:tc>
          <w:tcPr>
            <w:tcW w:w="6838" w:type="dxa"/>
          </w:tcPr>
          <w:p w14:paraId="0F92D8A2" w14:textId="546C65A8" w:rsidR="00D91B95" w:rsidRPr="000622AD" w:rsidRDefault="0067575C" w:rsidP="000622AD">
            <w:r w:rsidRPr="0067575C">
              <w:rPr>
                <w:iCs/>
              </w:rPr>
              <w:t>The length of passwords will always be checked automatically at the time that users construct or select them.   A User Password must contain a minimum of eight (8) characters.</w:t>
            </w:r>
          </w:p>
        </w:tc>
      </w:tr>
      <w:tr w:rsidR="00D91B95" w:rsidRPr="002E354C" w14:paraId="31644A7D" w14:textId="77777777" w:rsidTr="000622AD">
        <w:trPr>
          <w:trHeight w:val="230"/>
        </w:trPr>
        <w:tc>
          <w:tcPr>
            <w:tcW w:w="817" w:type="dxa"/>
          </w:tcPr>
          <w:p w14:paraId="43EB89B5" w14:textId="77777777" w:rsidR="00D91B95" w:rsidRPr="00473B10" w:rsidRDefault="00D91B95" w:rsidP="00D91B95">
            <w:r w:rsidRPr="00473B10">
              <w:t xml:space="preserve">7.5 </w:t>
            </w:r>
          </w:p>
        </w:tc>
        <w:tc>
          <w:tcPr>
            <w:tcW w:w="3119" w:type="dxa"/>
          </w:tcPr>
          <w:p w14:paraId="3E0ECC9B" w14:textId="77777777" w:rsidR="00D91B95" w:rsidRPr="00473B10" w:rsidRDefault="00D91B95" w:rsidP="00D91B95">
            <w:r w:rsidRPr="00473B10">
              <w:t xml:space="preserve">Password changes </w:t>
            </w:r>
          </w:p>
        </w:tc>
        <w:tc>
          <w:tcPr>
            <w:tcW w:w="6838" w:type="dxa"/>
          </w:tcPr>
          <w:p w14:paraId="2AF5C3C6" w14:textId="1B28E35B" w:rsidR="00D91B95" w:rsidRPr="0067575C" w:rsidRDefault="0067575C" w:rsidP="00D91B95">
            <w:pPr>
              <w:rPr>
                <w:bCs/>
                <w:iCs/>
              </w:rPr>
            </w:pPr>
            <w:r w:rsidRPr="0067575C">
              <w:rPr>
                <w:iCs/>
              </w:rPr>
              <w:t xml:space="preserve">We are moving away from forcing password changes following the </w:t>
            </w:r>
            <w:hyperlink r:id="rId5" w:history="1">
              <w:r w:rsidRPr="0067575C">
                <w:rPr>
                  <w:rStyle w:val="Hyperlink"/>
                  <w:iCs/>
                </w:rPr>
                <w:t>guidance of the National Cyber Security Centre</w:t>
              </w:r>
            </w:hyperlink>
            <w:r w:rsidRPr="0067575C">
              <w:rPr>
                <w:iCs/>
              </w:rPr>
              <w:t xml:space="preserve"> which has determined that this makes systems less secure.  This can be changed at the request of the commissioner to meet their own policy.  </w:t>
            </w:r>
          </w:p>
        </w:tc>
      </w:tr>
      <w:tr w:rsidR="00D91B95" w:rsidRPr="002E354C" w14:paraId="766CE85D" w14:textId="77777777" w:rsidTr="000622AD">
        <w:trPr>
          <w:trHeight w:val="230"/>
        </w:trPr>
        <w:tc>
          <w:tcPr>
            <w:tcW w:w="817" w:type="dxa"/>
          </w:tcPr>
          <w:p w14:paraId="6F8A62CB" w14:textId="77777777" w:rsidR="00D91B95" w:rsidRPr="00473B10" w:rsidRDefault="00D91B95" w:rsidP="00D91B95">
            <w:r w:rsidRPr="00473B10">
              <w:t xml:space="preserve">7.6 </w:t>
            </w:r>
          </w:p>
        </w:tc>
        <w:tc>
          <w:tcPr>
            <w:tcW w:w="3119" w:type="dxa"/>
          </w:tcPr>
          <w:p w14:paraId="2AFCE73B" w14:textId="77777777" w:rsidR="00D91B95" w:rsidRPr="00473B10" w:rsidRDefault="00D91B95" w:rsidP="00D91B95">
            <w:r w:rsidRPr="00473B10">
              <w:t xml:space="preserve">Inactivity log out </w:t>
            </w:r>
          </w:p>
        </w:tc>
        <w:tc>
          <w:tcPr>
            <w:tcW w:w="6838" w:type="dxa"/>
          </w:tcPr>
          <w:p w14:paraId="433F820C" w14:textId="77777777" w:rsidR="00D91B95" w:rsidRPr="00473B10" w:rsidRDefault="001B0ED6" w:rsidP="000622AD">
            <w:r w:rsidRPr="00473B10">
              <w:t>After 10 minutes users are required to confirm thei</w:t>
            </w:r>
            <w:r w:rsidR="000622AD">
              <w:t>r intention to continue working. A</w:t>
            </w:r>
            <w:r w:rsidRPr="00473B10">
              <w:t xml:space="preserve">fter a further 5 minutes they must enter letters from </w:t>
            </w:r>
            <w:r w:rsidR="000622AD">
              <w:t>an additional</w:t>
            </w:r>
            <w:r w:rsidRPr="00473B10">
              <w:t xml:space="preserve"> security wor</w:t>
            </w:r>
            <w:r w:rsidR="000622AD">
              <w:t>d beyond their password</w:t>
            </w:r>
            <w:r w:rsidRPr="00473B10">
              <w:t xml:space="preserve"> to unlock the system </w:t>
            </w:r>
          </w:p>
        </w:tc>
      </w:tr>
      <w:tr w:rsidR="00D91B95" w:rsidRPr="002E354C" w14:paraId="460DFA98" w14:textId="77777777" w:rsidTr="000622AD">
        <w:trPr>
          <w:trHeight w:val="230"/>
        </w:trPr>
        <w:tc>
          <w:tcPr>
            <w:tcW w:w="817" w:type="dxa"/>
          </w:tcPr>
          <w:p w14:paraId="4B1B281A" w14:textId="77777777" w:rsidR="00D91B95" w:rsidRPr="00473B10" w:rsidRDefault="00D91B95" w:rsidP="00D91B95">
            <w:r w:rsidRPr="00473B10">
              <w:t xml:space="preserve">7.7 </w:t>
            </w:r>
          </w:p>
        </w:tc>
        <w:tc>
          <w:tcPr>
            <w:tcW w:w="3119" w:type="dxa"/>
          </w:tcPr>
          <w:p w14:paraId="6BDE5212" w14:textId="77777777" w:rsidR="00D91B95" w:rsidRPr="00473B10" w:rsidRDefault="00D91B95" w:rsidP="00D91B95">
            <w:r w:rsidRPr="00473B10">
              <w:t xml:space="preserve">Logon attempts </w:t>
            </w:r>
          </w:p>
        </w:tc>
        <w:tc>
          <w:tcPr>
            <w:tcW w:w="6838" w:type="dxa"/>
          </w:tcPr>
          <w:p w14:paraId="4AFF7A91" w14:textId="77777777" w:rsidR="00D91B95" w:rsidRPr="000622AD" w:rsidRDefault="00D91B95" w:rsidP="000622AD">
            <w:r w:rsidRPr="000622AD">
              <w:rPr>
                <w:iCs/>
              </w:rPr>
              <w:t xml:space="preserve">The number of unsuccessful consecutive logon attempts is restricted to 3 </w:t>
            </w:r>
          </w:p>
        </w:tc>
      </w:tr>
      <w:tr w:rsidR="00D91B95" w:rsidRPr="002E354C" w14:paraId="4C4E135B" w14:textId="77777777" w:rsidTr="000622AD">
        <w:trPr>
          <w:trHeight w:val="356"/>
        </w:trPr>
        <w:tc>
          <w:tcPr>
            <w:tcW w:w="817" w:type="dxa"/>
          </w:tcPr>
          <w:p w14:paraId="215384F8" w14:textId="77777777" w:rsidR="00D91B95" w:rsidRPr="00473B10" w:rsidRDefault="00D91B95" w:rsidP="00D91B95">
            <w:r w:rsidRPr="00473B10">
              <w:t xml:space="preserve">7.8 </w:t>
            </w:r>
          </w:p>
        </w:tc>
        <w:tc>
          <w:tcPr>
            <w:tcW w:w="3119" w:type="dxa"/>
          </w:tcPr>
          <w:p w14:paraId="1C20D937" w14:textId="77777777" w:rsidR="00D91B95" w:rsidRPr="00473B10" w:rsidRDefault="00D91B95" w:rsidP="00D91B95">
            <w:r w:rsidRPr="00473B10">
              <w:t xml:space="preserve">Procedure for when access is no longer required </w:t>
            </w:r>
          </w:p>
        </w:tc>
        <w:tc>
          <w:tcPr>
            <w:tcW w:w="6838" w:type="dxa"/>
          </w:tcPr>
          <w:p w14:paraId="3339D285" w14:textId="77777777" w:rsidR="00D91B95" w:rsidRPr="000622AD" w:rsidRDefault="001B0ED6" w:rsidP="00D91B95">
            <w:pPr>
              <w:rPr>
                <w:rFonts w:asciiTheme="minorHAnsi" w:hAnsiTheme="minorHAnsi"/>
              </w:rPr>
            </w:pPr>
            <w:r w:rsidRPr="000622AD">
              <w:t>The Commissioner</w:t>
            </w:r>
            <w:r w:rsidR="00D91B95" w:rsidRPr="000622AD">
              <w:t xml:space="preserve"> i</w:t>
            </w:r>
            <w:r w:rsidR="00D91B95" w:rsidRPr="000622AD">
              <w:rPr>
                <w:iCs/>
              </w:rPr>
              <w:t xml:space="preserve">s responsible for removing users who no longer require access </w:t>
            </w:r>
          </w:p>
        </w:tc>
      </w:tr>
    </w:tbl>
    <w:p w14:paraId="6A495822" w14:textId="77777777" w:rsidR="000622AD" w:rsidRDefault="000622AD"/>
    <w:tbl>
      <w:tblPr>
        <w:tblStyle w:val="TableGrid"/>
        <w:tblW w:w="10774" w:type="dxa"/>
        <w:tblLayout w:type="fixed"/>
        <w:tblLook w:val="0620" w:firstRow="1" w:lastRow="0" w:firstColumn="0" w:lastColumn="0" w:noHBand="1" w:noVBand="1"/>
      </w:tblPr>
      <w:tblGrid>
        <w:gridCol w:w="817"/>
        <w:gridCol w:w="3119"/>
        <w:gridCol w:w="6838"/>
      </w:tblGrid>
      <w:tr w:rsidR="000622AD" w:rsidRPr="00D26892" w14:paraId="5C8C528A" w14:textId="77777777" w:rsidTr="00D26892">
        <w:trPr>
          <w:cnfStyle w:val="100000000000" w:firstRow="1" w:lastRow="0" w:firstColumn="0" w:lastColumn="0" w:oddVBand="0" w:evenVBand="0" w:oddHBand="0" w:evenHBand="0" w:firstRowFirstColumn="0" w:firstRowLastColumn="0" w:lastRowFirstColumn="0" w:lastRowLastColumn="0"/>
          <w:trHeight w:val="281"/>
        </w:trPr>
        <w:tc>
          <w:tcPr>
            <w:tcW w:w="817" w:type="dxa"/>
          </w:tcPr>
          <w:p w14:paraId="1AC6F489" w14:textId="77777777" w:rsidR="000622AD" w:rsidRPr="00D26892" w:rsidRDefault="000622AD" w:rsidP="00D26892">
            <w:r w:rsidRPr="00D26892">
              <w:lastRenderedPageBreak/>
              <w:t>8.</w:t>
            </w:r>
          </w:p>
        </w:tc>
        <w:tc>
          <w:tcPr>
            <w:tcW w:w="3119" w:type="dxa"/>
          </w:tcPr>
          <w:p w14:paraId="5D9FD9A0" w14:textId="77777777" w:rsidR="000622AD" w:rsidRPr="00D26892" w:rsidRDefault="000622AD" w:rsidP="00D26892">
            <w:r w:rsidRPr="00D26892">
              <w:t>Access Rights</w:t>
            </w:r>
          </w:p>
        </w:tc>
        <w:tc>
          <w:tcPr>
            <w:tcW w:w="6838" w:type="dxa"/>
          </w:tcPr>
          <w:p w14:paraId="586CAF42" w14:textId="77777777" w:rsidR="000622AD" w:rsidRPr="00D26892" w:rsidRDefault="000622AD" w:rsidP="00D26892"/>
        </w:tc>
      </w:tr>
      <w:tr w:rsidR="00D91B95" w:rsidRPr="002E354C" w14:paraId="4EA8BFF3" w14:textId="77777777" w:rsidTr="000622AD">
        <w:trPr>
          <w:trHeight w:val="609"/>
        </w:trPr>
        <w:tc>
          <w:tcPr>
            <w:tcW w:w="817" w:type="dxa"/>
          </w:tcPr>
          <w:p w14:paraId="0E4750A0" w14:textId="77777777" w:rsidR="00D91B95" w:rsidRPr="00473B10" w:rsidRDefault="00D91B95" w:rsidP="00D91B95">
            <w:r w:rsidRPr="00473B10">
              <w:t xml:space="preserve">8.1 </w:t>
            </w:r>
          </w:p>
        </w:tc>
        <w:tc>
          <w:tcPr>
            <w:tcW w:w="3119" w:type="dxa"/>
          </w:tcPr>
          <w:p w14:paraId="60ECD174" w14:textId="77777777" w:rsidR="00D91B95" w:rsidRPr="00473B10" w:rsidRDefault="00D91B95" w:rsidP="00D91B95">
            <w:r w:rsidRPr="00473B10">
              <w:t xml:space="preserve">Details of access rights </w:t>
            </w:r>
          </w:p>
        </w:tc>
        <w:tc>
          <w:tcPr>
            <w:tcW w:w="6838" w:type="dxa"/>
          </w:tcPr>
          <w:p w14:paraId="782C4C58" w14:textId="77777777" w:rsidR="00D91B95" w:rsidRPr="000622AD" w:rsidRDefault="00D91B95" w:rsidP="000622AD">
            <w:r w:rsidRPr="000622AD">
              <w:t xml:space="preserve">Access rights are </w:t>
            </w:r>
            <w:r w:rsidR="000622AD">
              <w:t>available to users with Admin/Users rights granted and can reset passwords for other users.</w:t>
            </w:r>
          </w:p>
          <w:p w14:paraId="5679B9D0" w14:textId="77777777" w:rsidR="00D91B95" w:rsidRPr="000622AD" w:rsidRDefault="000622AD" w:rsidP="000622AD">
            <w:r>
              <w:t>Individual restrictions can be set for Services, Claiming, Reporting and Admin at various levels.</w:t>
            </w:r>
          </w:p>
          <w:p w14:paraId="16DA457E" w14:textId="77777777" w:rsidR="00D91B95" w:rsidRPr="002E354C" w:rsidRDefault="00D91B95" w:rsidP="000622AD">
            <w:pPr>
              <w:rPr>
                <w:rFonts w:asciiTheme="minorHAnsi" w:hAnsiTheme="minorHAnsi"/>
              </w:rPr>
            </w:pPr>
            <w:r w:rsidRPr="000622AD">
              <w:t xml:space="preserve">Access rights will be reviewed on an annual basis by the </w:t>
            </w:r>
            <w:r w:rsidR="001B0ED6" w:rsidRPr="000622AD">
              <w:t xml:space="preserve">Commissioner </w:t>
            </w:r>
            <w:r w:rsidRPr="000622AD">
              <w:t>Information Asset Owner.</w:t>
            </w:r>
            <w:r w:rsidRPr="00473B10">
              <w:t xml:space="preserve"> </w:t>
            </w:r>
          </w:p>
        </w:tc>
      </w:tr>
    </w:tbl>
    <w:p w14:paraId="3AD8AA90"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4A18832A" w14:textId="77777777" w:rsidTr="00527062">
        <w:trPr>
          <w:cnfStyle w:val="100000000000" w:firstRow="1" w:lastRow="0" w:firstColumn="0" w:lastColumn="0" w:oddVBand="0" w:evenVBand="0" w:oddHBand="0" w:evenHBand="0" w:firstRowFirstColumn="0" w:firstRowLastColumn="0" w:lastRowFirstColumn="0" w:lastRowLastColumn="0"/>
          <w:trHeight w:val="483"/>
        </w:trPr>
        <w:tc>
          <w:tcPr>
            <w:tcW w:w="817" w:type="dxa"/>
          </w:tcPr>
          <w:p w14:paraId="251435A0" w14:textId="77777777" w:rsidR="00D26892" w:rsidRPr="00473B10" w:rsidRDefault="00D26892" w:rsidP="00527062">
            <w:r w:rsidRPr="00473B10">
              <w:t>9.</w:t>
            </w:r>
          </w:p>
        </w:tc>
        <w:tc>
          <w:tcPr>
            <w:tcW w:w="3119" w:type="dxa"/>
          </w:tcPr>
          <w:p w14:paraId="1359F067" w14:textId="77777777" w:rsidR="00D26892" w:rsidRPr="00473B10" w:rsidRDefault="00D26892" w:rsidP="00527062">
            <w:r>
              <w:t>User Training</w:t>
            </w:r>
          </w:p>
        </w:tc>
        <w:tc>
          <w:tcPr>
            <w:tcW w:w="6838" w:type="dxa"/>
          </w:tcPr>
          <w:p w14:paraId="7C685883" w14:textId="77777777" w:rsidR="00D26892" w:rsidRPr="002E354C" w:rsidRDefault="00D26892" w:rsidP="00527062">
            <w:pPr>
              <w:rPr>
                <w:rFonts w:asciiTheme="minorHAnsi" w:hAnsiTheme="minorHAnsi"/>
              </w:rPr>
            </w:pPr>
          </w:p>
        </w:tc>
      </w:tr>
      <w:tr w:rsidR="00D26892" w:rsidRPr="002E354C" w14:paraId="380B5390" w14:textId="77777777" w:rsidTr="00527062">
        <w:trPr>
          <w:trHeight w:val="483"/>
        </w:trPr>
        <w:tc>
          <w:tcPr>
            <w:tcW w:w="817" w:type="dxa"/>
          </w:tcPr>
          <w:p w14:paraId="296CB98D" w14:textId="77777777" w:rsidR="00D26892" w:rsidRPr="00473B10" w:rsidRDefault="00D26892" w:rsidP="00527062">
            <w:r w:rsidRPr="00473B10">
              <w:t xml:space="preserve">9.1 </w:t>
            </w:r>
          </w:p>
        </w:tc>
        <w:tc>
          <w:tcPr>
            <w:tcW w:w="3119" w:type="dxa"/>
          </w:tcPr>
          <w:p w14:paraId="4B172127" w14:textId="77777777" w:rsidR="00D26892" w:rsidRPr="00473B10" w:rsidRDefault="00D26892" w:rsidP="00527062">
            <w:r w:rsidRPr="00473B10">
              <w:t xml:space="preserve">Details of any specific training </w:t>
            </w:r>
          </w:p>
        </w:tc>
        <w:tc>
          <w:tcPr>
            <w:tcW w:w="6838" w:type="dxa"/>
          </w:tcPr>
          <w:p w14:paraId="515FA138" w14:textId="77777777" w:rsidR="00D26892" w:rsidRDefault="00D26892" w:rsidP="00D26892">
            <w:r w:rsidRPr="00D26892">
              <w:t xml:space="preserve">Training </w:t>
            </w:r>
            <w:r>
              <w:t>is</w:t>
            </w:r>
            <w:r w:rsidRPr="00D26892">
              <w:t xml:space="preserve"> provided by Pinnacle Health Partnership free of charge twice a year</w:t>
            </w:r>
            <w:r>
              <w:t xml:space="preserve"> at site throughout the country</w:t>
            </w:r>
            <w:r w:rsidRPr="00D26892">
              <w:t xml:space="preserve"> or can be commissioned at other intervals.</w:t>
            </w:r>
          </w:p>
          <w:p w14:paraId="5CB8C931" w14:textId="77777777" w:rsidR="00D26892" w:rsidRPr="002E354C" w:rsidRDefault="00D26892" w:rsidP="00D26892">
            <w:pPr>
              <w:rPr>
                <w:rFonts w:asciiTheme="minorHAnsi" w:hAnsiTheme="minorHAnsi"/>
              </w:rPr>
            </w:pPr>
            <w:r w:rsidRPr="00D26892">
              <w:rPr>
                <w:iCs/>
              </w:rPr>
              <w:t>[X] is responsible for immediate new user training</w:t>
            </w:r>
          </w:p>
        </w:tc>
      </w:tr>
    </w:tbl>
    <w:p w14:paraId="25919155"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6D86DCB7" w14:textId="77777777" w:rsidTr="00527062">
        <w:trPr>
          <w:cnfStyle w:val="100000000000" w:firstRow="1" w:lastRow="0" w:firstColumn="0" w:lastColumn="0" w:oddVBand="0" w:evenVBand="0" w:oddHBand="0" w:evenHBand="0" w:firstRowFirstColumn="0" w:firstRowLastColumn="0" w:lastRowFirstColumn="0" w:lastRowLastColumn="0"/>
          <w:trHeight w:val="483"/>
        </w:trPr>
        <w:tc>
          <w:tcPr>
            <w:tcW w:w="817" w:type="dxa"/>
          </w:tcPr>
          <w:p w14:paraId="5C81316F" w14:textId="77777777" w:rsidR="00D26892" w:rsidRPr="004C2F14" w:rsidRDefault="00D26892" w:rsidP="00527062">
            <w:pPr>
              <w:rPr>
                <w:color w:val="000000"/>
              </w:rPr>
            </w:pPr>
            <w:r w:rsidRPr="004C2F14">
              <w:t>10.</w:t>
            </w:r>
          </w:p>
        </w:tc>
        <w:tc>
          <w:tcPr>
            <w:tcW w:w="3119" w:type="dxa"/>
          </w:tcPr>
          <w:p w14:paraId="63525B12" w14:textId="77777777" w:rsidR="00D26892" w:rsidRPr="002E354C" w:rsidRDefault="00D26892" w:rsidP="00D26892">
            <w:r>
              <w:t>Risk A</w:t>
            </w:r>
            <w:r w:rsidRPr="002E354C">
              <w:t>ssessment</w:t>
            </w:r>
          </w:p>
        </w:tc>
        <w:tc>
          <w:tcPr>
            <w:tcW w:w="6838" w:type="dxa"/>
          </w:tcPr>
          <w:p w14:paraId="697CA305" w14:textId="77777777" w:rsidR="00D26892" w:rsidRPr="002E354C" w:rsidRDefault="00D26892" w:rsidP="00527062"/>
        </w:tc>
      </w:tr>
      <w:tr w:rsidR="00D91B95" w:rsidRPr="002E354C" w14:paraId="0BC61C28" w14:textId="77777777" w:rsidTr="000622AD">
        <w:trPr>
          <w:trHeight w:val="483"/>
        </w:trPr>
        <w:tc>
          <w:tcPr>
            <w:tcW w:w="817" w:type="dxa"/>
          </w:tcPr>
          <w:p w14:paraId="69CE59E1" w14:textId="77777777" w:rsidR="00D91B95" w:rsidRPr="004C2F14" w:rsidRDefault="00D91B95" w:rsidP="004C2F14">
            <w:pPr>
              <w:rPr>
                <w:color w:val="000000"/>
              </w:rPr>
            </w:pPr>
            <w:r w:rsidRPr="004C2F14">
              <w:t xml:space="preserve">10.1 </w:t>
            </w:r>
          </w:p>
        </w:tc>
        <w:tc>
          <w:tcPr>
            <w:tcW w:w="3119" w:type="dxa"/>
          </w:tcPr>
          <w:p w14:paraId="2C5B0141" w14:textId="77777777" w:rsidR="00D91B95" w:rsidRPr="002E354C" w:rsidRDefault="00D91B95" w:rsidP="004C2F14">
            <w:r w:rsidRPr="002E354C">
              <w:t xml:space="preserve">Details of risk assessment and next review date </w:t>
            </w:r>
          </w:p>
        </w:tc>
        <w:tc>
          <w:tcPr>
            <w:tcW w:w="6838" w:type="dxa"/>
          </w:tcPr>
          <w:p w14:paraId="3A4BDF66" w14:textId="77777777" w:rsidR="00D91B95" w:rsidRPr="002E354C" w:rsidRDefault="00D91B95" w:rsidP="004C2F14">
            <w:r w:rsidRPr="004C2F14">
              <w:t>A risk assessment will be undertaken following the Information Asset Management procedure. This will be performed on an annual/ quarterly basis.</w:t>
            </w:r>
          </w:p>
        </w:tc>
      </w:tr>
    </w:tbl>
    <w:p w14:paraId="4A32E4AD"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6A593C2B" w14:textId="77777777" w:rsidTr="00527062">
        <w:trPr>
          <w:cnfStyle w:val="100000000000" w:firstRow="1" w:lastRow="0" w:firstColumn="0" w:lastColumn="0" w:oddVBand="0" w:evenVBand="0" w:oddHBand="0" w:evenHBand="0" w:firstRowFirstColumn="0" w:firstRowLastColumn="0" w:lastRowFirstColumn="0" w:lastRowLastColumn="0"/>
          <w:trHeight w:val="356"/>
        </w:trPr>
        <w:tc>
          <w:tcPr>
            <w:tcW w:w="817" w:type="dxa"/>
          </w:tcPr>
          <w:p w14:paraId="1D7B98E4" w14:textId="77777777" w:rsidR="00D26892" w:rsidRPr="004C2F14" w:rsidRDefault="00D26892" w:rsidP="00527062">
            <w:pPr>
              <w:rPr>
                <w:color w:val="000000"/>
              </w:rPr>
            </w:pPr>
            <w:r w:rsidRPr="004C2F14">
              <w:t>11.</w:t>
            </w:r>
          </w:p>
        </w:tc>
        <w:tc>
          <w:tcPr>
            <w:tcW w:w="3119" w:type="dxa"/>
          </w:tcPr>
          <w:p w14:paraId="29A526B7" w14:textId="77777777" w:rsidR="00D26892" w:rsidRPr="002E354C" w:rsidRDefault="00D26892" w:rsidP="00527062">
            <w:r w:rsidRPr="004C2F14">
              <w:t>Data Protection/Caldicott</w:t>
            </w:r>
          </w:p>
        </w:tc>
        <w:tc>
          <w:tcPr>
            <w:tcW w:w="6838" w:type="dxa"/>
          </w:tcPr>
          <w:p w14:paraId="3FCB03B0" w14:textId="77777777" w:rsidR="00D26892" w:rsidRPr="002E354C" w:rsidRDefault="00D26892" w:rsidP="00527062"/>
        </w:tc>
      </w:tr>
      <w:tr w:rsidR="00D91B95" w:rsidRPr="002E354C" w14:paraId="685DB781" w14:textId="77777777" w:rsidTr="000622AD">
        <w:trPr>
          <w:trHeight w:val="356"/>
        </w:trPr>
        <w:tc>
          <w:tcPr>
            <w:tcW w:w="817" w:type="dxa"/>
          </w:tcPr>
          <w:p w14:paraId="7C663787" w14:textId="77777777" w:rsidR="00D91B95" w:rsidRPr="004C2F14" w:rsidRDefault="00D91B95" w:rsidP="004C2F14">
            <w:pPr>
              <w:rPr>
                <w:color w:val="000000"/>
              </w:rPr>
            </w:pPr>
            <w:r w:rsidRPr="004C2F14">
              <w:t xml:space="preserve">11.1 </w:t>
            </w:r>
          </w:p>
        </w:tc>
        <w:tc>
          <w:tcPr>
            <w:tcW w:w="3119" w:type="dxa"/>
          </w:tcPr>
          <w:p w14:paraId="786D242F" w14:textId="77777777" w:rsidR="00D91B95" w:rsidRPr="002E354C" w:rsidRDefault="00D91B95" w:rsidP="004C2F14">
            <w:r w:rsidRPr="002E354C">
              <w:t>Subject access requests/ functionality to respect objections/withdrawal of consent</w:t>
            </w:r>
          </w:p>
        </w:tc>
        <w:tc>
          <w:tcPr>
            <w:tcW w:w="6838" w:type="dxa"/>
          </w:tcPr>
          <w:p w14:paraId="0E121FE1" w14:textId="0517CD53" w:rsidR="00D91B95" w:rsidRPr="002E354C" w:rsidRDefault="00D91B95" w:rsidP="00D26892">
            <w:r w:rsidRPr="004C2F14">
              <w:t xml:space="preserve">Subject access requests can be met within </w:t>
            </w:r>
            <w:r w:rsidR="0067575C">
              <w:t>one month</w:t>
            </w:r>
            <w:r w:rsidRPr="004C2F14">
              <w:t xml:space="preserve"> </w:t>
            </w:r>
            <w:r w:rsidRPr="002E354C">
              <w:t xml:space="preserve">in accordance with </w:t>
            </w:r>
            <w:r w:rsidR="0067575C">
              <w:t>GDPR requirements</w:t>
            </w:r>
            <w:r w:rsidRPr="002E354C">
              <w:t xml:space="preserve"> </w:t>
            </w:r>
          </w:p>
        </w:tc>
      </w:tr>
      <w:tr w:rsidR="00D91B95" w:rsidRPr="002E354C" w14:paraId="4632DC3A" w14:textId="77777777" w:rsidTr="000622AD">
        <w:trPr>
          <w:trHeight w:val="608"/>
        </w:trPr>
        <w:tc>
          <w:tcPr>
            <w:tcW w:w="817" w:type="dxa"/>
          </w:tcPr>
          <w:p w14:paraId="6E55B59D" w14:textId="77777777" w:rsidR="00D91B95" w:rsidRPr="004C2F14" w:rsidRDefault="00D91B95" w:rsidP="004C2F14">
            <w:pPr>
              <w:rPr>
                <w:color w:val="000000"/>
              </w:rPr>
            </w:pPr>
            <w:r w:rsidRPr="004C2F14">
              <w:t xml:space="preserve">11.2 </w:t>
            </w:r>
          </w:p>
        </w:tc>
        <w:tc>
          <w:tcPr>
            <w:tcW w:w="3119" w:type="dxa"/>
          </w:tcPr>
          <w:p w14:paraId="69253B7F" w14:textId="77777777" w:rsidR="00D91B95" w:rsidRPr="002E354C" w:rsidRDefault="00D91B95" w:rsidP="004C2F14">
            <w:r w:rsidRPr="002E354C">
              <w:t xml:space="preserve">Any specific requirements regarding consent and disclosures of information </w:t>
            </w:r>
          </w:p>
        </w:tc>
        <w:tc>
          <w:tcPr>
            <w:tcW w:w="6838" w:type="dxa"/>
          </w:tcPr>
          <w:p w14:paraId="546873E4" w14:textId="77777777" w:rsidR="00D91B95" w:rsidRPr="004C2F14" w:rsidRDefault="00D26892" w:rsidP="00D26892">
            <w:r>
              <w:t>Initial requests for SARs should be directed to iow.pinnacle@nhs.net from a secure nhs.net address</w:t>
            </w:r>
          </w:p>
        </w:tc>
      </w:tr>
    </w:tbl>
    <w:p w14:paraId="28377437"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0178B883" w14:textId="77777777" w:rsidTr="00527062">
        <w:trPr>
          <w:cnfStyle w:val="100000000000" w:firstRow="1" w:lastRow="0" w:firstColumn="0" w:lastColumn="0" w:oddVBand="0" w:evenVBand="0" w:oddHBand="0" w:evenHBand="0" w:firstRowFirstColumn="0" w:firstRowLastColumn="0" w:lastRowFirstColumn="0" w:lastRowLastColumn="0"/>
          <w:trHeight w:val="482"/>
        </w:trPr>
        <w:tc>
          <w:tcPr>
            <w:tcW w:w="817" w:type="dxa"/>
          </w:tcPr>
          <w:p w14:paraId="72721EF8" w14:textId="77777777" w:rsidR="00D26892" w:rsidRPr="004C2F14" w:rsidRDefault="00D26892" w:rsidP="00527062">
            <w:pPr>
              <w:rPr>
                <w:color w:val="000000"/>
              </w:rPr>
            </w:pPr>
            <w:r w:rsidRPr="004C2F14">
              <w:t>12.</w:t>
            </w:r>
          </w:p>
        </w:tc>
        <w:tc>
          <w:tcPr>
            <w:tcW w:w="3119" w:type="dxa"/>
          </w:tcPr>
          <w:p w14:paraId="1F1B0AC1" w14:textId="77777777" w:rsidR="00D26892" w:rsidRPr="002E354C" w:rsidRDefault="00D26892" w:rsidP="00527062">
            <w:r w:rsidRPr="004C2F14">
              <w:t>Relevant Legislation/ Contractual Obligations</w:t>
            </w:r>
          </w:p>
        </w:tc>
        <w:tc>
          <w:tcPr>
            <w:tcW w:w="6838" w:type="dxa"/>
          </w:tcPr>
          <w:p w14:paraId="6B784EED" w14:textId="77777777" w:rsidR="00D26892" w:rsidRPr="002E354C" w:rsidRDefault="00D26892" w:rsidP="00527062">
            <w:r w:rsidRPr="002E354C">
              <w:t xml:space="preserve">. </w:t>
            </w:r>
          </w:p>
        </w:tc>
      </w:tr>
      <w:tr w:rsidR="00D91B95" w:rsidRPr="002E354C" w14:paraId="70515354" w14:textId="77777777" w:rsidTr="000622AD">
        <w:trPr>
          <w:trHeight w:val="482"/>
        </w:trPr>
        <w:tc>
          <w:tcPr>
            <w:tcW w:w="817" w:type="dxa"/>
          </w:tcPr>
          <w:p w14:paraId="0F4B27F9" w14:textId="77777777" w:rsidR="00D91B95" w:rsidRPr="004C2F14" w:rsidRDefault="00D91B95" w:rsidP="004C2F14">
            <w:pPr>
              <w:rPr>
                <w:color w:val="000000"/>
              </w:rPr>
            </w:pPr>
            <w:r w:rsidRPr="004C2F14">
              <w:t xml:space="preserve">12.1 </w:t>
            </w:r>
          </w:p>
        </w:tc>
        <w:tc>
          <w:tcPr>
            <w:tcW w:w="3119" w:type="dxa"/>
          </w:tcPr>
          <w:p w14:paraId="51493FA4" w14:textId="77777777" w:rsidR="00D91B95" w:rsidRPr="002E354C" w:rsidRDefault="00D91B95" w:rsidP="004C2F14">
            <w:r w:rsidRPr="002E354C">
              <w:t xml:space="preserve">Details of any specific legislation e.g. Mental Capacity Act 2005, Children Act 2004 </w:t>
            </w:r>
          </w:p>
        </w:tc>
        <w:tc>
          <w:tcPr>
            <w:tcW w:w="6838" w:type="dxa"/>
          </w:tcPr>
          <w:p w14:paraId="021B6729" w14:textId="77777777" w:rsidR="00D91B95" w:rsidRPr="002E354C" w:rsidRDefault="00D26892" w:rsidP="004C2F14">
            <w:r>
              <w:t>No relevant legislation applies</w:t>
            </w:r>
          </w:p>
        </w:tc>
      </w:tr>
    </w:tbl>
    <w:p w14:paraId="7AF6A9A3"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0F835B2B" w14:textId="77777777" w:rsidTr="00527062">
        <w:trPr>
          <w:cnfStyle w:val="100000000000" w:firstRow="1" w:lastRow="0" w:firstColumn="0" w:lastColumn="0" w:oddVBand="0" w:evenVBand="0" w:oddHBand="0" w:evenHBand="0" w:firstRowFirstColumn="0" w:firstRowLastColumn="0" w:lastRowFirstColumn="0" w:lastRowLastColumn="0"/>
          <w:trHeight w:val="229"/>
        </w:trPr>
        <w:tc>
          <w:tcPr>
            <w:tcW w:w="817" w:type="dxa"/>
          </w:tcPr>
          <w:p w14:paraId="63D6C72D" w14:textId="77777777" w:rsidR="00D26892" w:rsidRPr="004C2F14" w:rsidRDefault="00D26892" w:rsidP="00D26892">
            <w:pPr>
              <w:rPr>
                <w:color w:val="000000"/>
              </w:rPr>
            </w:pPr>
            <w:r>
              <w:t>13.</w:t>
            </w:r>
          </w:p>
        </w:tc>
        <w:tc>
          <w:tcPr>
            <w:tcW w:w="3119" w:type="dxa"/>
          </w:tcPr>
          <w:p w14:paraId="41A3F804" w14:textId="77777777" w:rsidR="00D26892" w:rsidRPr="002E354C" w:rsidRDefault="00D26892" w:rsidP="00527062">
            <w:r>
              <w:t>Audit Trails</w:t>
            </w:r>
            <w:r w:rsidRPr="002E354C">
              <w:t xml:space="preserve"> </w:t>
            </w:r>
          </w:p>
        </w:tc>
        <w:tc>
          <w:tcPr>
            <w:tcW w:w="6838" w:type="dxa"/>
          </w:tcPr>
          <w:p w14:paraId="4A6E9628" w14:textId="77777777" w:rsidR="00D26892" w:rsidRPr="002E354C" w:rsidRDefault="00D26892" w:rsidP="00527062"/>
        </w:tc>
      </w:tr>
      <w:tr w:rsidR="00D91B95" w:rsidRPr="002E354C" w14:paraId="1A8368F8" w14:textId="77777777" w:rsidTr="000622AD">
        <w:trPr>
          <w:trHeight w:val="229"/>
        </w:trPr>
        <w:tc>
          <w:tcPr>
            <w:tcW w:w="817" w:type="dxa"/>
          </w:tcPr>
          <w:p w14:paraId="3D4D43E8" w14:textId="77777777" w:rsidR="00D91B95" w:rsidRPr="004C2F14" w:rsidRDefault="00D91B95" w:rsidP="004C2F14">
            <w:pPr>
              <w:rPr>
                <w:color w:val="000000"/>
              </w:rPr>
            </w:pPr>
            <w:r w:rsidRPr="004C2F14">
              <w:t xml:space="preserve">13.1 </w:t>
            </w:r>
          </w:p>
        </w:tc>
        <w:tc>
          <w:tcPr>
            <w:tcW w:w="3119" w:type="dxa"/>
          </w:tcPr>
          <w:p w14:paraId="5832F977" w14:textId="77777777" w:rsidR="00D91B95" w:rsidRPr="002E354C" w:rsidRDefault="00D91B95" w:rsidP="004C2F14">
            <w:r w:rsidRPr="002E354C">
              <w:t xml:space="preserve">Details of any audit trails provided </w:t>
            </w:r>
          </w:p>
        </w:tc>
        <w:tc>
          <w:tcPr>
            <w:tcW w:w="6838" w:type="dxa"/>
          </w:tcPr>
          <w:p w14:paraId="3699306F" w14:textId="77777777" w:rsidR="00D26892" w:rsidRDefault="00D26892" w:rsidP="004C2F14">
            <w:r>
              <w:t>The system maintains user and organisation level activity within an audit of service activity which is provided on screen and csv formats.</w:t>
            </w:r>
          </w:p>
          <w:p w14:paraId="2DE3E2E0" w14:textId="77777777" w:rsidR="00D91B95" w:rsidRPr="002E354C" w:rsidRDefault="00D26892" w:rsidP="004C2F14">
            <w:r>
              <w:t>Detailed audit trails are maintained for all clinical service data transactions which can be interrogated upon request and granting of appropriate permissions.</w:t>
            </w:r>
          </w:p>
        </w:tc>
      </w:tr>
    </w:tbl>
    <w:p w14:paraId="3E5EB169" w14:textId="77777777" w:rsidR="00D26892" w:rsidRDefault="00D26892"/>
    <w:tbl>
      <w:tblPr>
        <w:tblStyle w:val="TableGrid"/>
        <w:tblW w:w="10774" w:type="dxa"/>
        <w:tblLayout w:type="fixed"/>
        <w:tblLook w:val="0620" w:firstRow="1" w:lastRow="0" w:firstColumn="0" w:lastColumn="0" w:noHBand="1" w:noVBand="1"/>
      </w:tblPr>
      <w:tblGrid>
        <w:gridCol w:w="817"/>
        <w:gridCol w:w="3119"/>
        <w:gridCol w:w="6838"/>
      </w:tblGrid>
      <w:tr w:rsidR="00D26892" w:rsidRPr="002E354C" w14:paraId="62BC2531" w14:textId="77777777" w:rsidTr="00527062">
        <w:trPr>
          <w:cnfStyle w:val="100000000000" w:firstRow="1" w:lastRow="0" w:firstColumn="0" w:lastColumn="0" w:oddVBand="0" w:evenVBand="0" w:oddHBand="0" w:evenHBand="0" w:firstRowFirstColumn="0" w:firstRowLastColumn="0" w:lastRowFirstColumn="0" w:lastRowLastColumn="0"/>
          <w:trHeight w:val="230"/>
        </w:trPr>
        <w:tc>
          <w:tcPr>
            <w:tcW w:w="817" w:type="dxa"/>
          </w:tcPr>
          <w:p w14:paraId="51C8CF47" w14:textId="77777777" w:rsidR="00D26892" w:rsidRPr="004C2F14" w:rsidRDefault="00D26892" w:rsidP="00527062">
            <w:pPr>
              <w:rPr>
                <w:color w:val="000000"/>
              </w:rPr>
            </w:pPr>
            <w:r w:rsidRPr="004C2F14">
              <w:lastRenderedPageBreak/>
              <w:t>14.</w:t>
            </w:r>
          </w:p>
        </w:tc>
        <w:tc>
          <w:tcPr>
            <w:tcW w:w="3119" w:type="dxa"/>
          </w:tcPr>
          <w:p w14:paraId="1FC4B13C" w14:textId="77777777" w:rsidR="00D26892" w:rsidRPr="002E354C" w:rsidRDefault="00D26892" w:rsidP="00D26892">
            <w:r>
              <w:t>Data Q</w:t>
            </w:r>
            <w:r w:rsidRPr="002E354C">
              <w:t>uality</w:t>
            </w:r>
          </w:p>
        </w:tc>
        <w:tc>
          <w:tcPr>
            <w:tcW w:w="6838" w:type="dxa"/>
          </w:tcPr>
          <w:p w14:paraId="57D0077D" w14:textId="77777777" w:rsidR="00D26892" w:rsidRPr="002E354C" w:rsidRDefault="00D26892" w:rsidP="00527062"/>
        </w:tc>
      </w:tr>
      <w:tr w:rsidR="00D91B95" w:rsidRPr="002E354C" w14:paraId="4A5BE973" w14:textId="77777777" w:rsidTr="000622AD">
        <w:trPr>
          <w:trHeight w:val="230"/>
        </w:trPr>
        <w:tc>
          <w:tcPr>
            <w:tcW w:w="817" w:type="dxa"/>
          </w:tcPr>
          <w:p w14:paraId="66EBC062" w14:textId="77777777" w:rsidR="00D91B95" w:rsidRPr="004C2F14" w:rsidRDefault="00D91B95" w:rsidP="004C2F14">
            <w:pPr>
              <w:rPr>
                <w:color w:val="000000"/>
              </w:rPr>
            </w:pPr>
            <w:r w:rsidRPr="004C2F14">
              <w:t xml:space="preserve">14.1 </w:t>
            </w:r>
          </w:p>
        </w:tc>
        <w:tc>
          <w:tcPr>
            <w:tcW w:w="3119" w:type="dxa"/>
          </w:tcPr>
          <w:p w14:paraId="7D406BE7" w14:textId="77777777" w:rsidR="00D91B95" w:rsidRPr="002E354C" w:rsidRDefault="00D91B95" w:rsidP="004C2F14">
            <w:r w:rsidRPr="002E354C">
              <w:t xml:space="preserve">Details of any data quality requirements </w:t>
            </w:r>
          </w:p>
        </w:tc>
        <w:tc>
          <w:tcPr>
            <w:tcW w:w="6838" w:type="dxa"/>
          </w:tcPr>
          <w:p w14:paraId="2B788A3C" w14:textId="77777777" w:rsidR="00D91B95" w:rsidRPr="002E354C" w:rsidRDefault="009631FE" w:rsidP="004C2F14">
            <w:r>
              <w:t>The system allows commissioners to restrict data entry to meet set requirements or be within criteria defined by the commissioner. Records cannot be saved until the requirements are met.</w:t>
            </w:r>
          </w:p>
        </w:tc>
      </w:tr>
    </w:tbl>
    <w:p w14:paraId="4317CFD2" w14:textId="77777777" w:rsidR="009631FE" w:rsidRDefault="009631FE"/>
    <w:tbl>
      <w:tblPr>
        <w:tblStyle w:val="TableGrid"/>
        <w:tblW w:w="10774" w:type="dxa"/>
        <w:tblLayout w:type="fixed"/>
        <w:tblLook w:val="0620" w:firstRow="1" w:lastRow="0" w:firstColumn="0" w:lastColumn="0" w:noHBand="1" w:noVBand="1"/>
      </w:tblPr>
      <w:tblGrid>
        <w:gridCol w:w="817"/>
        <w:gridCol w:w="3119"/>
        <w:gridCol w:w="6838"/>
      </w:tblGrid>
      <w:tr w:rsidR="00D91B95" w:rsidRPr="002E354C" w14:paraId="0D05FA13" w14:textId="77777777" w:rsidTr="000622AD">
        <w:trPr>
          <w:cnfStyle w:val="100000000000" w:firstRow="1" w:lastRow="0" w:firstColumn="0" w:lastColumn="0" w:oddVBand="0" w:evenVBand="0" w:oddHBand="0" w:evenHBand="0" w:firstRowFirstColumn="0" w:firstRowLastColumn="0" w:lastRowFirstColumn="0" w:lastRowLastColumn="0"/>
          <w:trHeight w:val="112"/>
        </w:trPr>
        <w:tc>
          <w:tcPr>
            <w:tcW w:w="817" w:type="dxa"/>
          </w:tcPr>
          <w:p w14:paraId="038C8C7A" w14:textId="77777777" w:rsidR="00D91B95" w:rsidRPr="004C2F14" w:rsidRDefault="00D91B95" w:rsidP="004C2F14">
            <w:pPr>
              <w:rPr>
                <w:color w:val="000000"/>
              </w:rPr>
            </w:pPr>
            <w:r w:rsidRPr="004C2F14">
              <w:t xml:space="preserve">15. </w:t>
            </w:r>
          </w:p>
        </w:tc>
        <w:tc>
          <w:tcPr>
            <w:tcW w:w="9957" w:type="dxa"/>
            <w:gridSpan w:val="2"/>
          </w:tcPr>
          <w:p w14:paraId="41F5C7FD" w14:textId="77777777" w:rsidR="00D91B95" w:rsidRPr="004C2F14" w:rsidRDefault="00D91B95" w:rsidP="004C2F14">
            <w:r w:rsidRPr="004C2F14">
              <w:t xml:space="preserve">Data Backup </w:t>
            </w:r>
          </w:p>
        </w:tc>
      </w:tr>
      <w:tr w:rsidR="00D91B95" w:rsidRPr="002E354C" w14:paraId="44CD679B" w14:textId="77777777" w:rsidTr="000622AD">
        <w:trPr>
          <w:trHeight w:val="230"/>
        </w:trPr>
        <w:tc>
          <w:tcPr>
            <w:tcW w:w="817" w:type="dxa"/>
          </w:tcPr>
          <w:p w14:paraId="3957511E" w14:textId="77777777" w:rsidR="00D91B95" w:rsidRPr="004C2F14" w:rsidRDefault="00D91B95" w:rsidP="004C2F14">
            <w:pPr>
              <w:rPr>
                <w:color w:val="000000"/>
              </w:rPr>
            </w:pPr>
            <w:r w:rsidRPr="004C2F14">
              <w:t xml:space="preserve">15.1 </w:t>
            </w:r>
          </w:p>
        </w:tc>
        <w:tc>
          <w:tcPr>
            <w:tcW w:w="3119" w:type="dxa"/>
          </w:tcPr>
          <w:p w14:paraId="65CFB7CC" w14:textId="77777777" w:rsidR="00D91B95" w:rsidRPr="002E354C" w:rsidRDefault="00D91B95" w:rsidP="004C2F14">
            <w:r w:rsidRPr="002E354C">
              <w:t xml:space="preserve">Details of any data backup arrangements </w:t>
            </w:r>
          </w:p>
        </w:tc>
        <w:tc>
          <w:tcPr>
            <w:tcW w:w="6838" w:type="dxa"/>
          </w:tcPr>
          <w:p w14:paraId="6CCB0D62" w14:textId="77777777" w:rsidR="00D91B95" w:rsidRPr="002E354C" w:rsidRDefault="009631FE" w:rsidP="009631FE">
            <w:r>
              <w:t xml:space="preserve">The primary systems are replicated live to secondary systems. </w:t>
            </w:r>
            <w:r w:rsidR="00BB5F42" w:rsidRPr="002E354C">
              <w:t xml:space="preserve">The system is </w:t>
            </w:r>
            <w:r>
              <w:t xml:space="preserve">also </w:t>
            </w:r>
            <w:r w:rsidR="00BB5F42" w:rsidRPr="002E354C">
              <w:t>backed up live to another data centre every four hours on an incremental basis and a full system backup taken each evening.</w:t>
            </w:r>
          </w:p>
        </w:tc>
      </w:tr>
    </w:tbl>
    <w:p w14:paraId="170C7AA8" w14:textId="77777777" w:rsidR="009631FE" w:rsidRDefault="009631FE"/>
    <w:tbl>
      <w:tblPr>
        <w:tblStyle w:val="TableGrid"/>
        <w:tblW w:w="10774" w:type="dxa"/>
        <w:tblLayout w:type="fixed"/>
        <w:tblLook w:val="0620" w:firstRow="1" w:lastRow="0" w:firstColumn="0" w:lastColumn="0" w:noHBand="1" w:noVBand="1"/>
      </w:tblPr>
      <w:tblGrid>
        <w:gridCol w:w="817"/>
        <w:gridCol w:w="3119"/>
        <w:gridCol w:w="6838"/>
      </w:tblGrid>
      <w:tr w:rsidR="009631FE" w:rsidRPr="002E354C" w14:paraId="72BDEC94" w14:textId="77777777" w:rsidTr="009631FE">
        <w:trPr>
          <w:cnfStyle w:val="100000000000" w:firstRow="1" w:lastRow="0" w:firstColumn="0" w:lastColumn="0" w:oddVBand="0" w:evenVBand="0" w:oddHBand="0" w:evenHBand="0" w:firstRowFirstColumn="0" w:firstRowLastColumn="0" w:lastRowFirstColumn="0" w:lastRowLastColumn="0"/>
          <w:trHeight w:val="342"/>
        </w:trPr>
        <w:tc>
          <w:tcPr>
            <w:tcW w:w="817" w:type="dxa"/>
          </w:tcPr>
          <w:p w14:paraId="54CA2E3C" w14:textId="77777777" w:rsidR="009631FE" w:rsidRPr="004C2F14" w:rsidRDefault="009631FE" w:rsidP="00527062">
            <w:pPr>
              <w:rPr>
                <w:color w:val="000000"/>
              </w:rPr>
            </w:pPr>
            <w:r w:rsidRPr="004C2F14">
              <w:t>16.</w:t>
            </w:r>
          </w:p>
        </w:tc>
        <w:tc>
          <w:tcPr>
            <w:tcW w:w="3119" w:type="dxa"/>
          </w:tcPr>
          <w:p w14:paraId="6B5C9E45" w14:textId="77777777" w:rsidR="009631FE" w:rsidRPr="002E354C" w:rsidRDefault="009631FE" w:rsidP="00527062">
            <w:r w:rsidRPr="004C2F14">
              <w:t>Auditing Compliance</w:t>
            </w:r>
          </w:p>
        </w:tc>
        <w:tc>
          <w:tcPr>
            <w:tcW w:w="6838" w:type="dxa"/>
          </w:tcPr>
          <w:p w14:paraId="5B309B2D" w14:textId="77777777" w:rsidR="009631FE" w:rsidRPr="002E354C" w:rsidRDefault="009631FE" w:rsidP="00527062"/>
        </w:tc>
      </w:tr>
      <w:tr w:rsidR="00D91B95" w:rsidRPr="002E354C" w14:paraId="6D2EA31A" w14:textId="77777777" w:rsidTr="000622AD">
        <w:trPr>
          <w:trHeight w:val="609"/>
        </w:trPr>
        <w:tc>
          <w:tcPr>
            <w:tcW w:w="817" w:type="dxa"/>
          </w:tcPr>
          <w:p w14:paraId="7B29E4CB" w14:textId="77777777" w:rsidR="00D91B95" w:rsidRPr="004C2F14" w:rsidRDefault="00D91B95" w:rsidP="004C2F14">
            <w:pPr>
              <w:rPr>
                <w:color w:val="000000"/>
              </w:rPr>
            </w:pPr>
            <w:r w:rsidRPr="004C2F14">
              <w:t xml:space="preserve">16.1 </w:t>
            </w:r>
          </w:p>
        </w:tc>
        <w:tc>
          <w:tcPr>
            <w:tcW w:w="3119" w:type="dxa"/>
          </w:tcPr>
          <w:p w14:paraId="113B49D8" w14:textId="77777777" w:rsidR="00D91B95" w:rsidRPr="002E354C" w:rsidRDefault="00D91B95" w:rsidP="004C2F14">
            <w:r w:rsidRPr="002E354C">
              <w:t xml:space="preserve">Details of who is responsible for auditing compliance. e.g. confidentiality audits </w:t>
            </w:r>
          </w:p>
        </w:tc>
        <w:tc>
          <w:tcPr>
            <w:tcW w:w="6838" w:type="dxa"/>
          </w:tcPr>
          <w:p w14:paraId="2A8C8DF4" w14:textId="77777777" w:rsidR="00D91B95" w:rsidRPr="002E354C" w:rsidRDefault="00D91B95" w:rsidP="009631FE">
            <w:r w:rsidRPr="002E354C">
              <w:t xml:space="preserve">Audits are undertaken by </w:t>
            </w:r>
            <w:r w:rsidR="009631FE">
              <w:t>[X]</w:t>
            </w:r>
            <w:r w:rsidRPr="002E354C">
              <w:t xml:space="preserve"> on a </w:t>
            </w:r>
            <w:r w:rsidR="009631FE">
              <w:t>[monthly/quarterly/annual]</w:t>
            </w:r>
            <w:r w:rsidRPr="002E354C">
              <w:t xml:space="preserve"> basis. </w:t>
            </w:r>
          </w:p>
        </w:tc>
      </w:tr>
    </w:tbl>
    <w:p w14:paraId="31341801" w14:textId="77777777" w:rsidR="009631FE" w:rsidRDefault="009631FE"/>
    <w:tbl>
      <w:tblPr>
        <w:tblStyle w:val="TableGrid"/>
        <w:tblW w:w="10774" w:type="dxa"/>
        <w:tblLayout w:type="fixed"/>
        <w:tblLook w:val="0620" w:firstRow="1" w:lastRow="0" w:firstColumn="0" w:lastColumn="0" w:noHBand="1" w:noVBand="1"/>
      </w:tblPr>
      <w:tblGrid>
        <w:gridCol w:w="817"/>
        <w:gridCol w:w="3119"/>
        <w:gridCol w:w="6838"/>
      </w:tblGrid>
      <w:tr w:rsidR="009631FE" w:rsidRPr="002E354C" w14:paraId="237EA38C" w14:textId="77777777" w:rsidTr="00527062">
        <w:trPr>
          <w:cnfStyle w:val="100000000000" w:firstRow="1" w:lastRow="0" w:firstColumn="0" w:lastColumn="0" w:oddVBand="0" w:evenVBand="0" w:oddHBand="0" w:evenHBand="0" w:firstRowFirstColumn="0" w:firstRowLastColumn="0" w:lastRowFirstColumn="0" w:lastRowLastColumn="0"/>
          <w:trHeight w:val="482"/>
        </w:trPr>
        <w:tc>
          <w:tcPr>
            <w:tcW w:w="817" w:type="dxa"/>
          </w:tcPr>
          <w:p w14:paraId="3689A612" w14:textId="77777777" w:rsidR="009631FE" w:rsidRPr="004C2F14" w:rsidRDefault="009631FE" w:rsidP="00527062">
            <w:pPr>
              <w:rPr>
                <w:color w:val="000000"/>
              </w:rPr>
            </w:pPr>
            <w:r w:rsidRPr="004C2F14">
              <w:t>17.</w:t>
            </w:r>
          </w:p>
        </w:tc>
        <w:tc>
          <w:tcPr>
            <w:tcW w:w="3119" w:type="dxa"/>
          </w:tcPr>
          <w:p w14:paraId="59B4D3DC" w14:textId="77777777" w:rsidR="009631FE" w:rsidRPr="002E354C" w:rsidRDefault="009631FE" w:rsidP="00527062">
            <w:r w:rsidRPr="004C2F14">
              <w:t>Security Incident Management and Reporting</w:t>
            </w:r>
          </w:p>
        </w:tc>
        <w:tc>
          <w:tcPr>
            <w:tcW w:w="6838" w:type="dxa"/>
          </w:tcPr>
          <w:p w14:paraId="0930782A" w14:textId="77777777" w:rsidR="009631FE" w:rsidRPr="004C2F14" w:rsidRDefault="009631FE" w:rsidP="00527062"/>
        </w:tc>
      </w:tr>
      <w:tr w:rsidR="00D91B95" w:rsidRPr="002E354C" w14:paraId="4C42DE5B" w14:textId="77777777" w:rsidTr="000622AD">
        <w:trPr>
          <w:trHeight w:val="482"/>
        </w:trPr>
        <w:tc>
          <w:tcPr>
            <w:tcW w:w="817" w:type="dxa"/>
          </w:tcPr>
          <w:p w14:paraId="4C5505DB" w14:textId="77777777" w:rsidR="00D91B95" w:rsidRPr="004C2F14" w:rsidRDefault="00D91B95" w:rsidP="004C2F14">
            <w:pPr>
              <w:rPr>
                <w:color w:val="000000"/>
              </w:rPr>
            </w:pPr>
            <w:r w:rsidRPr="004C2F14">
              <w:t xml:space="preserve">17.1 </w:t>
            </w:r>
          </w:p>
        </w:tc>
        <w:tc>
          <w:tcPr>
            <w:tcW w:w="3119" w:type="dxa"/>
          </w:tcPr>
          <w:p w14:paraId="74CE6DC9" w14:textId="77777777" w:rsidR="00D91B95" w:rsidRPr="002E354C" w:rsidRDefault="00D91B95" w:rsidP="004C2F14">
            <w:r w:rsidRPr="002E354C">
              <w:t xml:space="preserve">Details of how to report an incident </w:t>
            </w:r>
          </w:p>
        </w:tc>
        <w:tc>
          <w:tcPr>
            <w:tcW w:w="6838" w:type="dxa"/>
          </w:tcPr>
          <w:p w14:paraId="2E569FF2" w14:textId="77777777" w:rsidR="00D91B95" w:rsidRPr="004C2F14" w:rsidRDefault="00D91B95" w:rsidP="004C2F14">
            <w:r w:rsidRPr="004C2F14">
              <w:t xml:space="preserve">All suspected or actual breaches of security regarding the system are to be reported to the Information Asset Owner who will report via NHS England’s incident reporting procedure if appropriate </w:t>
            </w:r>
          </w:p>
        </w:tc>
      </w:tr>
    </w:tbl>
    <w:p w14:paraId="3C5921ED" w14:textId="77777777" w:rsidR="009631FE" w:rsidRDefault="009631FE"/>
    <w:tbl>
      <w:tblPr>
        <w:tblStyle w:val="TableGrid"/>
        <w:tblW w:w="10774" w:type="dxa"/>
        <w:tblLayout w:type="fixed"/>
        <w:tblLook w:val="0620" w:firstRow="1" w:lastRow="0" w:firstColumn="0" w:lastColumn="0" w:noHBand="1" w:noVBand="1"/>
      </w:tblPr>
      <w:tblGrid>
        <w:gridCol w:w="817"/>
        <w:gridCol w:w="3119"/>
        <w:gridCol w:w="6838"/>
      </w:tblGrid>
      <w:tr w:rsidR="009631FE" w:rsidRPr="002E354C" w14:paraId="4BB966C0" w14:textId="77777777" w:rsidTr="00527062">
        <w:trPr>
          <w:cnfStyle w:val="100000000000" w:firstRow="1" w:lastRow="0" w:firstColumn="0" w:lastColumn="0" w:oddVBand="0" w:evenVBand="0" w:oddHBand="0" w:evenHBand="0" w:firstRowFirstColumn="0" w:firstRowLastColumn="0" w:lastRowFirstColumn="0" w:lastRowLastColumn="0"/>
          <w:trHeight w:val="482"/>
        </w:trPr>
        <w:tc>
          <w:tcPr>
            <w:tcW w:w="817" w:type="dxa"/>
          </w:tcPr>
          <w:p w14:paraId="427744E8" w14:textId="77777777" w:rsidR="009631FE" w:rsidRPr="004C2F14" w:rsidRDefault="009631FE" w:rsidP="00527062">
            <w:pPr>
              <w:rPr>
                <w:color w:val="000000"/>
              </w:rPr>
            </w:pPr>
            <w:r>
              <w:t>18</w:t>
            </w:r>
            <w:r w:rsidRPr="004C2F14">
              <w:t>.</w:t>
            </w:r>
          </w:p>
        </w:tc>
        <w:tc>
          <w:tcPr>
            <w:tcW w:w="3119" w:type="dxa"/>
          </w:tcPr>
          <w:p w14:paraId="749B60E1" w14:textId="77777777" w:rsidR="009631FE" w:rsidRPr="002E354C" w:rsidRDefault="009631FE" w:rsidP="00527062">
            <w:r w:rsidRPr="004C2F14">
              <w:t>Business Continuity</w:t>
            </w:r>
          </w:p>
        </w:tc>
        <w:tc>
          <w:tcPr>
            <w:tcW w:w="6838" w:type="dxa"/>
          </w:tcPr>
          <w:p w14:paraId="07E08776" w14:textId="77777777" w:rsidR="009631FE" w:rsidRPr="004C2F14" w:rsidRDefault="009631FE" w:rsidP="00527062"/>
        </w:tc>
      </w:tr>
      <w:tr w:rsidR="009631FE" w:rsidRPr="002E354C" w14:paraId="6AFBCFB4" w14:textId="77777777" w:rsidTr="00527062">
        <w:trPr>
          <w:trHeight w:val="482"/>
        </w:trPr>
        <w:tc>
          <w:tcPr>
            <w:tcW w:w="817" w:type="dxa"/>
          </w:tcPr>
          <w:p w14:paraId="22A7A606" w14:textId="77777777" w:rsidR="009631FE" w:rsidRPr="004C2F14" w:rsidRDefault="009631FE" w:rsidP="00527062">
            <w:pPr>
              <w:rPr>
                <w:color w:val="000000"/>
              </w:rPr>
            </w:pPr>
            <w:r>
              <w:t>18</w:t>
            </w:r>
            <w:r w:rsidRPr="004C2F14">
              <w:t xml:space="preserve">.1 </w:t>
            </w:r>
          </w:p>
        </w:tc>
        <w:tc>
          <w:tcPr>
            <w:tcW w:w="3119" w:type="dxa"/>
          </w:tcPr>
          <w:p w14:paraId="1498F898" w14:textId="77777777" w:rsidR="009631FE" w:rsidRPr="002E354C" w:rsidRDefault="009631FE" w:rsidP="009631FE">
            <w:r w:rsidRPr="002E354C">
              <w:t xml:space="preserve">Details of </w:t>
            </w:r>
            <w:r>
              <w:t>any business continuity plans</w:t>
            </w:r>
          </w:p>
        </w:tc>
        <w:tc>
          <w:tcPr>
            <w:tcW w:w="6838" w:type="dxa"/>
          </w:tcPr>
          <w:p w14:paraId="41B8D11A" w14:textId="77777777" w:rsidR="0067575C" w:rsidRDefault="0067575C" w:rsidP="0067575C">
            <w:r>
              <w:t>When data is entered onto PharmOutcomes, there is no information stored locally on the pharmacy computer, so fires, burglaries and computer failure at the provider will have no impact.</w:t>
            </w:r>
          </w:p>
          <w:p w14:paraId="6A3A9F9F" w14:textId="77777777" w:rsidR="0067575C" w:rsidRDefault="0067575C" w:rsidP="0067575C">
            <w:r>
              <w:t>The PharmOutcomes systems are located in ISO27001:2013 accredited data centres in England operated by Memset Limited, our hosting partner and all the operational staff who have access to the system are security vetted.</w:t>
            </w:r>
          </w:p>
          <w:p w14:paraId="660A740C" w14:textId="77777777" w:rsidR="0067575C" w:rsidRDefault="0067575C" w:rsidP="0067575C">
            <w:r>
              <w:t>The disaster recovery and business continuity arrangements for PharmOutcomes are part of the core design of the system. Failover protection is provided by dual load-balancing servers and dual web-servers. As soon as records are saved by a contractor on the PharmOutcomes platform, e.g. by clicking a 'Save' button, a record is made on the PharmOutcomes database system which is located in England, and an identical copy is replicated onto another two servers in two distinct data centres.</w:t>
            </w:r>
          </w:p>
          <w:p w14:paraId="3A12CFAB" w14:textId="77777777" w:rsidR="0067575C" w:rsidRDefault="0067575C" w:rsidP="0067575C">
            <w:r>
              <w:t xml:space="preserve">The system is run across two data centres with data always stored on both sites. In the event that a whole data centre was lost the system would failover all primary users to the second automatically within a few minutes. A full system backup is taken each evening. </w:t>
            </w:r>
          </w:p>
          <w:p w14:paraId="7EB5AEC1" w14:textId="77777777" w:rsidR="0067575C" w:rsidRDefault="0067575C" w:rsidP="0067575C">
            <w:r>
              <w:t xml:space="preserve">Pinnacle Health Partnership also maintains backup support premises with full facilities which ensures that support can be continued if the primary location is compromised.  </w:t>
            </w:r>
          </w:p>
          <w:p w14:paraId="5D6AF312" w14:textId="1AFE27F0" w:rsidR="009631FE" w:rsidRPr="004C2F14" w:rsidRDefault="0067575C" w:rsidP="0067575C">
            <w:r>
              <w:lastRenderedPageBreak/>
              <w:t>All of our business continuity arrangements are accredited by ISO27001 and are subjected to a complete crash test check every year (or whenever infrastructure changes make reverification appropriate).</w:t>
            </w:r>
          </w:p>
        </w:tc>
      </w:tr>
    </w:tbl>
    <w:p w14:paraId="595C283F" w14:textId="77777777" w:rsidR="008457C8" w:rsidRPr="00473B10" w:rsidRDefault="008457C8"/>
    <w:sectPr w:rsidR="008457C8" w:rsidRPr="00473B10" w:rsidSect="002E3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95"/>
    <w:rsid w:val="000622AD"/>
    <w:rsid w:val="00134AC4"/>
    <w:rsid w:val="00185BC2"/>
    <w:rsid w:val="001B0ED6"/>
    <w:rsid w:val="00230EF8"/>
    <w:rsid w:val="00294C4C"/>
    <w:rsid w:val="002E354C"/>
    <w:rsid w:val="00421EB3"/>
    <w:rsid w:val="00473B10"/>
    <w:rsid w:val="004C2F14"/>
    <w:rsid w:val="005A7743"/>
    <w:rsid w:val="0067575C"/>
    <w:rsid w:val="00805CB2"/>
    <w:rsid w:val="008457C8"/>
    <w:rsid w:val="008C336D"/>
    <w:rsid w:val="009631FE"/>
    <w:rsid w:val="00AD7979"/>
    <w:rsid w:val="00BB5F42"/>
    <w:rsid w:val="00D26892"/>
    <w:rsid w:val="00D9130C"/>
    <w:rsid w:val="00D91B95"/>
    <w:rsid w:val="00E25BD7"/>
    <w:rsid w:val="00E50065"/>
    <w:rsid w:val="00E70F5B"/>
    <w:rsid w:val="00EE0542"/>
    <w:rsid w:val="00FF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AA6E"/>
  <w15:docId w15:val="{97B3B21A-B687-4933-AABC-372FAF12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B10"/>
    <w:pPr>
      <w:spacing w:after="120"/>
    </w:pPr>
    <w:rPr>
      <w:rFonts w:ascii="Calibri" w:hAnsi="Calibri"/>
    </w:rPr>
  </w:style>
  <w:style w:type="paragraph" w:styleId="Heading1">
    <w:name w:val="heading 1"/>
    <w:basedOn w:val="Normal"/>
    <w:next w:val="Normal"/>
    <w:link w:val="Heading1Char"/>
    <w:uiPriority w:val="9"/>
    <w:qFormat/>
    <w:rsid w:val="00421EB3"/>
    <w:pPr>
      <w:autoSpaceDE w:val="0"/>
      <w:autoSpaceDN w:val="0"/>
      <w:adjustRightInd w:val="0"/>
      <w:spacing w:after="0" w:line="240" w:lineRule="auto"/>
      <w:outlineLvl w:val="0"/>
    </w:pPr>
    <w:rPr>
      <w:rFonts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B3"/>
    <w:rPr>
      <w:rFonts w:cs="Arial"/>
      <w:b/>
      <w:bCs/>
      <w:color w:val="000000"/>
      <w:sz w:val="28"/>
      <w:szCs w:val="28"/>
    </w:rPr>
  </w:style>
  <w:style w:type="table" w:styleId="TableGrid">
    <w:name w:val="Table Grid"/>
    <w:basedOn w:val="TableNormal"/>
    <w:uiPriority w:val="59"/>
    <w:rsid w:val="0047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b/>
        <w:sz w:val="24"/>
      </w:rPr>
      <w:tblPr/>
      <w:trPr>
        <w:cantSplit/>
        <w:tblHead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BFBFBF" w:themeFill="background1" w:themeFillShade="BF"/>
      </w:tcPr>
    </w:tblStylePr>
  </w:style>
  <w:style w:type="character" w:styleId="Hyperlink">
    <w:name w:val="Hyperlink"/>
    <w:basedOn w:val="DefaultParagraphFont"/>
    <w:uiPriority w:val="99"/>
    <w:unhideWhenUsed/>
    <w:rsid w:val="00D26892"/>
    <w:rPr>
      <w:color w:val="0000FF" w:themeColor="hyperlink"/>
      <w:u w:val="single"/>
    </w:rPr>
  </w:style>
  <w:style w:type="character" w:styleId="UnresolvedMention">
    <w:name w:val="Unresolved Mention"/>
    <w:basedOn w:val="DefaultParagraphFont"/>
    <w:uiPriority w:val="99"/>
    <w:semiHidden/>
    <w:unhideWhenUsed/>
    <w:rsid w:val="00675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sc.gov.uk/articles/problems-forcing-regular-password-expiry" TargetMode="External"/><Relationship Id="rId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Cooper</dc:creator>
  <cp:lastModifiedBy>David Price</cp:lastModifiedBy>
  <cp:revision>4</cp:revision>
  <dcterms:created xsi:type="dcterms:W3CDTF">2018-05-14T16:12:00Z</dcterms:created>
  <dcterms:modified xsi:type="dcterms:W3CDTF">2018-05-14T16:15:00Z</dcterms:modified>
</cp:coreProperties>
</file>